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drawings/drawing3.xml" ContentType="application/vnd.openxmlformats-officedocument.drawingml.chartshapes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4.xml" ContentType="application/vnd.openxmlformats-officedocument.themeOverride+xml"/>
  <Override PartName="/word/drawings/drawing5.xml" ContentType="application/vnd.openxmlformats-officedocument.drawingml.chartshapes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5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drawings/drawing8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6.xml" ContentType="application/vnd.openxmlformats-officedocument.themeOverride+xml"/>
  <Override PartName="/word/drawings/drawing9.xml" ContentType="application/vnd.openxmlformats-officedocument.drawingml.chartshapes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drawings/drawing10.xml" ContentType="application/vnd.openxmlformats-officedocument.drawingml.chartshapes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64662" w14:textId="77777777" w:rsidR="00046060" w:rsidRDefault="00046060">
      <w:pPr>
        <w:pStyle w:val="Sinespaciado"/>
        <w:rPr>
          <w:rFonts w:ascii="Times New Roman" w:eastAsiaTheme="minorEastAsia" w:hAnsi="Times New Roman" w:cs="Times New Roman"/>
          <w:sz w:val="2"/>
          <w:szCs w:val="24"/>
          <w:lang w:val="es-ES_tradnl" w:eastAsia="es-ES"/>
        </w:rPr>
      </w:pPr>
      <w:bookmarkStart w:id="0" w:name="_Hlk49250386"/>
      <w:bookmarkStart w:id="1" w:name="_Toc410402057"/>
      <w:bookmarkStart w:id="2" w:name="_Toc457550818"/>
      <w:bookmarkEnd w:id="0"/>
      <w:r>
        <w:rPr>
          <w:rFonts w:ascii="Times New Roman" w:eastAsiaTheme="minorEastAsia" w:hAnsi="Times New Roman" w:cs="Times New Roman"/>
          <w:sz w:val="2"/>
          <w:szCs w:val="24"/>
          <w:lang w:val="es-ES_tradnl" w:eastAsia="es-ES"/>
        </w:rPr>
        <w:tab/>
      </w:r>
    </w:p>
    <w:sdt>
      <w:sdtPr>
        <w:rPr>
          <w:rFonts w:ascii="Times New Roman" w:eastAsiaTheme="minorEastAsia" w:hAnsi="Times New Roman" w:cs="Times New Roman"/>
          <w:sz w:val="2"/>
          <w:szCs w:val="24"/>
          <w:lang w:val="es-ES_tradnl" w:eastAsia="es-ES"/>
        </w:rPr>
        <w:id w:val="-1951234547"/>
        <w:docPartObj>
          <w:docPartGallery w:val="Cover Pages"/>
          <w:docPartUnique/>
        </w:docPartObj>
      </w:sdtPr>
      <w:sdtEndPr>
        <w:rPr>
          <w:rFonts w:eastAsiaTheme="majorEastAsia"/>
          <w:b/>
          <w:bCs/>
          <w:color w:val="FF0000"/>
          <w:sz w:val="22"/>
          <w:szCs w:val="26"/>
          <w:lang w:val="es-GT"/>
        </w:rPr>
      </w:sdtEndPr>
      <w:sdtContent>
        <w:p w14:paraId="4866D187" w14:textId="77777777" w:rsidR="00DB22E2" w:rsidRPr="00FC4688" w:rsidRDefault="009A1471">
          <w:pPr>
            <w:pStyle w:val="Sinespaciado"/>
            <w:rPr>
              <w:rFonts w:ascii="Times New Roman" w:hAnsi="Times New Roman" w:cs="Times New Roman"/>
              <w:sz w:val="2"/>
            </w:rPr>
          </w:pPr>
          <w:r w:rsidRPr="00FC4688">
            <w:rPr>
              <w:rFonts w:ascii="Times New Roman" w:hAnsi="Times New Roman" w:cs="Times New Roman"/>
              <w:noProof/>
              <w:lang w:eastAsia="es-GT"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49730031" wp14:editId="046655F8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top</wp:align>
                    </wp:positionV>
                    <wp:extent cx="5943600" cy="2344615"/>
                    <wp:effectExtent l="0" t="0" r="0" b="0"/>
                    <wp:wrapNone/>
                    <wp:docPr id="62" name="Cuadro de texto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23446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eastAsiaTheme="majorEastAsia" w:hAnsi="Times New Roman" w:cs="Times New Roman"/>
                                    <w:caps/>
                                    <w:color w:val="1F497D" w:themeColor="text2"/>
                                    <w:sz w:val="64"/>
                                    <w:szCs w:val="64"/>
                                  </w:rPr>
                                  <w:alias w:val="Título"/>
                                  <w:tag w:val=""/>
                                  <w:id w:val="797192764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sz w:val="68"/>
                                    <w:szCs w:val="68"/>
                                  </w:rPr>
                                </w:sdtEndPr>
                                <w:sdtContent>
                                  <w:p w14:paraId="4EA9183D" w14:textId="77777777" w:rsidR="000A5B5B" w:rsidRPr="00445193" w:rsidRDefault="000A5B5B">
                                    <w:pPr>
                                      <w:pStyle w:val="Sinespaciado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1F497D" w:themeColor="text2"/>
                                        <w:sz w:val="68"/>
                                        <w:szCs w:val="68"/>
                                      </w:rPr>
                                    </w:pPr>
                                    <w:r w:rsidRPr="00BF230D">
                                      <w:rPr>
                                        <w:rFonts w:ascii="Times New Roman" w:eastAsiaTheme="majorEastAsia" w:hAnsi="Times New Roman" w:cs="Times New Roman"/>
                                        <w:caps/>
                                        <w:color w:val="1F497D" w:themeColor="text2"/>
                                        <w:sz w:val="64"/>
                                        <w:szCs w:val="64"/>
                                      </w:rPr>
                                      <w:t>Informe de las Finanz</w:t>
                                    </w:r>
                                    <w:r>
                                      <w:rPr>
                                        <w:rFonts w:ascii="Times New Roman" w:eastAsiaTheme="majorEastAsia" w:hAnsi="Times New Roman" w:cs="Times New Roman"/>
                                        <w:caps/>
                                        <w:color w:val="1F497D" w:themeColor="text2"/>
                                        <w:sz w:val="64"/>
                                        <w:szCs w:val="64"/>
                                      </w:rPr>
                                      <w:t>A</w:t>
                                    </w:r>
                                    <w:r w:rsidRPr="00BF230D">
                                      <w:rPr>
                                        <w:rFonts w:ascii="Times New Roman" w:eastAsiaTheme="majorEastAsia" w:hAnsi="Times New Roman" w:cs="Times New Roman"/>
                                        <w:caps/>
                                        <w:color w:val="1F497D" w:themeColor="text2"/>
                                        <w:sz w:val="64"/>
                                        <w:szCs w:val="64"/>
                                      </w:rPr>
                                      <w:t>s públicas</w:t>
                                    </w:r>
                                  </w:p>
                                </w:sdtContent>
                              </w:sdt>
                              <w:p w14:paraId="4813C609" w14:textId="626E611B" w:rsidR="000A5B5B" w:rsidRPr="00BF230D" w:rsidRDefault="00000000">
                                <w:pPr>
                                  <w:pStyle w:val="Sinespaciado"/>
                                  <w:spacing w:before="120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4F81BD" w:themeColor="accent1"/>
                                      <w:sz w:val="36"/>
                                      <w:szCs w:val="36"/>
                                    </w:rPr>
                                    <w:alias w:val="Subtítulo"/>
                                    <w:tag w:val=""/>
                                    <w:id w:val="2021743002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271AD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>Tercer</w:t>
                                    </w:r>
                                    <w:r w:rsidR="000A5B5B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 xml:space="preserve"> Trimestre</w:t>
                                    </w:r>
                                  </w:sdtContent>
                                </w:sdt>
                                <w:r w:rsidR="000A5B5B" w:rsidRPr="00BF230D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F81BD" w:themeColor="accent1"/>
                                    <w:sz w:val="36"/>
                                    <w:szCs w:val="36"/>
                                  </w:rPr>
                                  <w:t xml:space="preserve"> 202</w:t>
                                </w:r>
                                <w:r w:rsidR="00F535E9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color w:val="4F81BD" w:themeColor="accent1"/>
                                    <w:sz w:val="36"/>
                                    <w:szCs w:val="36"/>
                                  </w:rPr>
                                  <w:t>2</w:t>
                                </w:r>
                                <w:r w:rsidR="000A5B5B" w:rsidRPr="00BF230D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i/>
                                    <w:iCs/>
                                    <w:lang w:val="es-ES"/>
                                  </w:rPr>
                                  <w:t xml:space="preserve"> </w:t>
                                </w:r>
                              </w:p>
                              <w:p w14:paraId="39A113FF" w14:textId="77777777" w:rsidR="000A5B5B" w:rsidRDefault="000A5B5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730031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62" o:spid="_x0000_s1026" type="#_x0000_t202" style="position:absolute;margin-left:0;margin-top:0;width:468pt;height:184.6pt;z-index:251658242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top;mso-position-vertical-relative:margin;mso-width-percent:765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" filled="f" stroked="f" strokeweight=".5pt">
                    <v:textbox>
                      <w:txbxContent>
                        <w:sdt>
                          <w:sdtPr>
                            <w:rPr>
                              <w:rFonts w:ascii="Times New Roman" w:eastAsiaTheme="majorEastAsia" w:hAnsi="Times New Roman" w:cs="Times New Roman"/>
                              <w:caps/>
                              <w:color w:val="1F497D" w:themeColor="text2"/>
                              <w:sz w:val="64"/>
                              <w:szCs w:val="64"/>
                            </w:rPr>
                            <w:alias w:val="Título"/>
                            <w:tag w:val=""/>
                            <w:id w:val="79719276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sz w:val="68"/>
                              <w:szCs w:val="68"/>
                            </w:rPr>
                          </w:sdtEndPr>
                          <w:sdtContent>
                            <w:p w14:paraId="4EA9183D" w14:textId="77777777" w:rsidR="000A5B5B" w:rsidRPr="00445193" w:rsidRDefault="000A5B5B">
                              <w:pPr>
                                <w:pStyle w:val="Sinespaciado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1F497D" w:themeColor="text2"/>
                                  <w:sz w:val="68"/>
                                  <w:szCs w:val="68"/>
                                </w:rPr>
                              </w:pPr>
                              <w:r w:rsidRPr="00BF230D">
                                <w:rPr>
                                  <w:rFonts w:ascii="Times New Roman" w:eastAsiaTheme="majorEastAsia" w:hAnsi="Times New Roman" w:cs="Times New Roman"/>
                                  <w:caps/>
                                  <w:color w:val="1F497D" w:themeColor="text2"/>
                                  <w:sz w:val="64"/>
                                  <w:szCs w:val="64"/>
                                </w:rPr>
                                <w:t>Informe de las Finanz</w:t>
                              </w:r>
                              <w:r>
                                <w:rPr>
                                  <w:rFonts w:ascii="Times New Roman" w:eastAsiaTheme="majorEastAsia" w:hAnsi="Times New Roman" w:cs="Times New Roman"/>
                                  <w:caps/>
                                  <w:color w:val="1F497D" w:themeColor="text2"/>
                                  <w:sz w:val="64"/>
                                  <w:szCs w:val="64"/>
                                </w:rPr>
                                <w:t>A</w:t>
                              </w:r>
                              <w:r w:rsidRPr="00BF230D">
                                <w:rPr>
                                  <w:rFonts w:ascii="Times New Roman" w:eastAsiaTheme="majorEastAsia" w:hAnsi="Times New Roman" w:cs="Times New Roman"/>
                                  <w:caps/>
                                  <w:color w:val="1F497D" w:themeColor="text2"/>
                                  <w:sz w:val="64"/>
                                  <w:szCs w:val="64"/>
                                </w:rPr>
                                <w:t>s públicas</w:t>
                              </w:r>
                            </w:p>
                          </w:sdtContent>
                        </w:sdt>
                        <w:p w14:paraId="4813C609" w14:textId="626E611B" w:rsidR="000A5B5B" w:rsidRPr="00BF230D" w:rsidRDefault="002C0AB6">
                          <w:pPr>
                            <w:pStyle w:val="Sinespaciado"/>
                            <w:spacing w:before="120"/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4F81BD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</w:rPr>
                              <w:alias w:val="Subtítulo"/>
                              <w:tag w:val=""/>
                              <w:id w:val="2021743002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271AD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4F81BD" w:themeColor="accent1"/>
                                  <w:sz w:val="36"/>
                                  <w:szCs w:val="36"/>
                                </w:rPr>
                                <w:t>Tercer</w:t>
                              </w:r>
                              <w:r w:rsidR="000A5B5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4F81BD" w:themeColor="accent1"/>
                                  <w:sz w:val="36"/>
                                  <w:szCs w:val="36"/>
                                </w:rPr>
                                <w:t xml:space="preserve"> Trimestre</w:t>
                              </w:r>
                            </w:sdtContent>
                          </w:sdt>
                          <w:r w:rsidR="000A5B5B" w:rsidRPr="00BF230D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4F81BD" w:themeColor="accent1"/>
                              <w:sz w:val="36"/>
                              <w:szCs w:val="36"/>
                            </w:rPr>
                            <w:t xml:space="preserve"> 202</w:t>
                          </w:r>
                          <w:r w:rsidR="00F535E9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4F81BD" w:themeColor="accent1"/>
                              <w:sz w:val="36"/>
                              <w:szCs w:val="36"/>
                            </w:rPr>
                            <w:t>2</w:t>
                          </w:r>
                          <w:r w:rsidR="000A5B5B" w:rsidRPr="00BF230D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lang w:val="es-ES"/>
                            </w:rPr>
                            <w:t xml:space="preserve"> </w:t>
                          </w:r>
                        </w:p>
                        <w:p w14:paraId="39A113FF" w14:textId="77777777" w:rsidR="000A5B5B" w:rsidRDefault="000A5B5B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7388F779" w14:textId="77777777" w:rsidR="00DB22E2" w:rsidRPr="00FC4688" w:rsidRDefault="00DB22E2" w:rsidP="00CD34D6">
          <w:pPr>
            <w:rPr>
              <w:rFonts w:cs="Times New Roman"/>
            </w:rPr>
          </w:pPr>
          <w:r w:rsidRPr="00FC4688">
            <w:rPr>
              <w:rFonts w:cs="Times New Roman"/>
              <w:noProof/>
              <w:color w:val="4F81BD" w:themeColor="accent1"/>
              <w:sz w:val="36"/>
              <w:szCs w:val="36"/>
              <w:lang w:eastAsia="es-GT"/>
            </w:rPr>
            <mc:AlternateContent>
              <mc:Choice Requires="wpg">
                <w:drawing>
                  <wp:anchor distT="0" distB="0" distL="114300" distR="114300" simplePos="0" relativeHeight="251658241" behindDoc="1" locked="0" layoutInCell="1" allowOverlap="1" wp14:anchorId="05D5122E" wp14:editId="5A272F86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1709420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Grupo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Forma libre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Forma libre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Forma libre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Forma libre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Forma libre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7F9EAF70" id="Grupo 2" o:spid="_x0000_s1026" style="position:absolute;margin-left:0;margin-top:0;width:432.65pt;height:448.55pt;z-index:-251658239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">
                    <o:lock v:ext="edit" aspectratio="t"/>
                    <v:shape id="Forma libre 64" o:spid="_x0000_s1027" style="position:absolute;left:15017;width:28274;height:28352;visibility:visible;mso-wrap-style:square;v-text-anchor:top" coordsize="1781,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Forma libre 65" o:spid="_x0000_s1028" style="position:absolute;left:7826;top:2270;width:35465;height:35464;visibility:visible;mso-wrap-style:square;v-text-anchor:top" coordsize="2234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Forma libre 66" o:spid="_x0000_s1029" style="position:absolute;left:8413;top:1095;width:34878;height:34877;visibility:visible;mso-wrap-style:square;v-text-anchor:top" coordsize="2197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Forma libre 67" o:spid="_x0000_s1030" style="position:absolute;left:12160;top:4984;width:31131;height:31211;visibility:visible;mso-wrap-style:square;v-text-anchor:top" coordsize="1961,1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Forma libre 68" o:spid="_x0000_s1031" style="position:absolute;top:1539;width:43291;height:43371;visibility:visible;mso-wrap-style:square;v-text-anchor:top" coordsize="2727,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  <w:r w:rsidRPr="00FC4688">
            <w:rPr>
              <w:rFonts w:cs="Times New Roman"/>
              <w:noProof/>
              <w:lang w:eastAsia="es-GT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C570617" wp14:editId="2191751A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69" name="Cuadro de texto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C520B9" w14:textId="77777777" w:rsidR="000A5B5B" w:rsidRPr="00BF230D" w:rsidRDefault="00000000">
                                <w:pPr>
                                  <w:pStyle w:val="Sinespaciado"/>
                                  <w:jc w:val="right"/>
                                  <w:rPr>
                                    <w:rFonts w:ascii="Times New Roman" w:hAnsi="Times New Roman" w:cs="Times New Roman"/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color w:val="4F81BD" w:themeColor="accent1"/>
                                      <w:sz w:val="36"/>
                                      <w:szCs w:val="36"/>
                                    </w:rPr>
                                    <w:alias w:val="Escolar"/>
                                    <w:tag w:val="Escolar"/>
                                    <w:id w:val="1850680582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0A5B5B" w:rsidRPr="00BF230D">
                                      <w:rPr>
                                        <w:rFonts w:ascii="Times New Roman" w:hAnsi="Times New Roman" w:cs="Times New Roman"/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>Dirección de Análisis y Política Fiscal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olor w:val="4F81BD" w:themeColor="accent1"/>
                                    <w:sz w:val="36"/>
                                    <w:szCs w:val="36"/>
                                  </w:rPr>
                                  <w:alias w:val="Curso"/>
                                  <w:tag w:val="Curso"/>
                                  <w:id w:val="1717703537"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Content>
                                  <w:p w14:paraId="07854316" w14:textId="77777777" w:rsidR="000A5B5B" w:rsidRPr="00BF230D" w:rsidRDefault="000A5B5B">
                                    <w:pPr>
                                      <w:pStyle w:val="Sinespaciado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</w:pPr>
                                    <w:r w:rsidRPr="00BF230D">
                                      <w:rPr>
                                        <w:rFonts w:ascii="Times New Roman" w:hAnsi="Times New Roman" w:cs="Times New Roman"/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>Ministerio de Finanzas Públicas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C570617" id="Cuadro de texto 69" o:spid="_x0000_s1027" type="#_x0000_t202" style="position:absolute;left:0;text-align:left;margin-left:0;margin-top:0;width:468pt;height:29.5pt;z-index:251658240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" filled="f" stroked="f" strokeweight=".5pt">
                    <v:textbox style="mso-fit-shape-to-text:t" inset="0,0,0,0">
                      <w:txbxContent>
                        <w:p w14:paraId="4AC520B9" w14:textId="77777777" w:rsidR="000A5B5B" w:rsidRPr="00BF230D" w:rsidRDefault="002C0AB6">
                          <w:pPr>
                            <w:pStyle w:val="Sinespaciado"/>
                            <w:jc w:val="right"/>
                            <w:rPr>
                              <w:rFonts w:ascii="Times New Roman" w:hAnsi="Times New Roman" w:cs="Times New Roman"/>
                              <w:color w:val="4F81BD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36"/>
                                <w:szCs w:val="36"/>
                              </w:rPr>
                              <w:alias w:val="Escolar"/>
                              <w:tag w:val="Escolar"/>
                              <w:id w:val="1850680582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0A5B5B" w:rsidRPr="00BF230D">
                                <w:rPr>
                                  <w:rFonts w:ascii="Times New Roman" w:hAnsi="Times New Roman" w:cs="Times New Roman"/>
                                  <w:color w:val="4F81BD" w:themeColor="accent1"/>
                                  <w:sz w:val="36"/>
                                  <w:szCs w:val="36"/>
                                </w:rPr>
                                <w:t>Dirección de Análisis y Política Fiscal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Times New Roman" w:hAnsi="Times New Roman" w:cs="Times New Roman"/>
                              <w:color w:val="4F81BD" w:themeColor="accent1"/>
                              <w:sz w:val="36"/>
                              <w:szCs w:val="36"/>
                            </w:rPr>
                            <w:alias w:val="Curso"/>
                            <w:tag w:val="Curso"/>
                            <w:id w:val="1717703537"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EndPr/>
                          <w:sdtContent>
                            <w:p w14:paraId="07854316" w14:textId="77777777" w:rsidR="000A5B5B" w:rsidRPr="00BF230D" w:rsidRDefault="000A5B5B">
                              <w:pPr>
                                <w:pStyle w:val="Sinespaciado"/>
                                <w:jc w:val="right"/>
                                <w:rPr>
                                  <w:rFonts w:ascii="Times New Roman" w:hAnsi="Times New Roman" w:cs="Times New Roman"/>
                                  <w:color w:val="4F81BD" w:themeColor="accent1"/>
                                  <w:sz w:val="36"/>
                                  <w:szCs w:val="36"/>
                                </w:rPr>
                              </w:pPr>
                              <w:r w:rsidRPr="00BF230D">
                                <w:rPr>
                                  <w:rFonts w:ascii="Times New Roman" w:hAnsi="Times New Roman" w:cs="Times New Roman"/>
                                  <w:color w:val="4F81BD" w:themeColor="accent1"/>
                                  <w:sz w:val="36"/>
                                  <w:szCs w:val="36"/>
                                </w:rPr>
                                <w:t>Ministerio de Finanzas Públicas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1E6B495C" w14:textId="77777777" w:rsidR="00DB22E2" w:rsidRPr="00FC4688" w:rsidRDefault="009A1471" w:rsidP="00CD34D6">
          <w:pPr>
            <w:spacing w:after="200" w:line="276" w:lineRule="auto"/>
            <w:rPr>
              <w:rFonts w:eastAsiaTheme="majorEastAsia" w:cs="Times New Roman"/>
              <w:b/>
              <w:bCs/>
              <w:color w:val="FF0000"/>
              <w:szCs w:val="26"/>
            </w:rPr>
          </w:pPr>
          <w:r w:rsidRPr="00FC4688">
            <w:rPr>
              <w:rFonts w:eastAsiaTheme="majorEastAsia" w:cs="Times New Roman"/>
              <w:b/>
              <w:bCs/>
              <w:noProof/>
              <w:color w:val="FF0000"/>
              <w:szCs w:val="26"/>
              <w:lang w:eastAsia="es-GT"/>
            </w:rPr>
            <w:drawing>
              <wp:anchor distT="0" distB="0" distL="114300" distR="114300" simplePos="0" relativeHeight="251658243" behindDoc="1" locked="0" layoutInCell="1" allowOverlap="1" wp14:anchorId="405DD89E" wp14:editId="26DDC1D9">
                <wp:simplePos x="0" y="0"/>
                <wp:positionH relativeFrom="margin">
                  <wp:posOffset>1464799</wp:posOffset>
                </wp:positionH>
                <wp:positionV relativeFrom="paragraph">
                  <wp:posOffset>2640917</wp:posOffset>
                </wp:positionV>
                <wp:extent cx="2736653" cy="1242647"/>
                <wp:effectExtent l="0" t="0" r="6985" b="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6653" cy="12426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B22E2" w:rsidRPr="00FC4688">
            <w:rPr>
              <w:rFonts w:eastAsiaTheme="majorEastAsia" w:cs="Times New Roman"/>
              <w:b/>
              <w:bCs/>
              <w:color w:val="FF0000"/>
              <w:szCs w:val="26"/>
            </w:rPr>
            <w:br w:type="page"/>
          </w:r>
        </w:p>
      </w:sdtContent>
    </w:sdt>
    <w:sdt>
      <w:sdtPr>
        <w:rPr>
          <w:rFonts w:ascii="Times New Roman" w:eastAsiaTheme="minorEastAsia" w:hAnsi="Times New Roman" w:cs="Times New Roman"/>
          <w:b w:val="0"/>
          <w:bCs w:val="0"/>
          <w:color w:val="FF0000"/>
          <w:sz w:val="24"/>
          <w:szCs w:val="24"/>
          <w:lang w:val="es-ES" w:eastAsia="es-ES"/>
        </w:rPr>
        <w:id w:val="-1412613934"/>
        <w:docPartObj>
          <w:docPartGallery w:val="Table of Contents"/>
          <w:docPartUnique/>
        </w:docPartObj>
      </w:sdtPr>
      <w:sdtEndPr>
        <w:rPr>
          <w:sz w:val="22"/>
        </w:rPr>
      </w:sdtEndPr>
      <w:sdtContent>
        <w:p w14:paraId="14EA01E7" w14:textId="77777777" w:rsidR="0032588B" w:rsidRPr="00FC4688" w:rsidRDefault="0032588B" w:rsidP="000D58D6">
          <w:pPr>
            <w:pStyle w:val="TtuloTDC"/>
            <w:jc w:val="center"/>
            <w:rPr>
              <w:rFonts w:ascii="Times New Roman" w:hAnsi="Times New Roman" w:cs="Times New Roman"/>
              <w:color w:val="auto"/>
              <w:sz w:val="24"/>
              <w:szCs w:val="24"/>
              <w:lang w:val="es-ES"/>
            </w:rPr>
          </w:pPr>
          <w:r w:rsidRPr="00FC4688">
            <w:rPr>
              <w:rFonts w:ascii="Times New Roman" w:hAnsi="Times New Roman" w:cs="Times New Roman"/>
              <w:color w:val="auto"/>
              <w:sz w:val="24"/>
              <w:szCs w:val="24"/>
              <w:lang w:val="es-ES"/>
            </w:rPr>
            <w:t>Contenido</w:t>
          </w:r>
        </w:p>
        <w:p w14:paraId="7057A639" w14:textId="77777777" w:rsidR="00F3006C" w:rsidRPr="00FC4688" w:rsidRDefault="00F3006C" w:rsidP="00CD34D6">
          <w:pPr>
            <w:spacing w:line="276" w:lineRule="auto"/>
            <w:rPr>
              <w:rFonts w:cs="Times New Roman"/>
              <w:color w:val="FF0000"/>
              <w:lang w:val="es-ES" w:eastAsia="es-GT"/>
            </w:rPr>
          </w:pPr>
        </w:p>
        <w:p w14:paraId="0A190014" w14:textId="55177E9B" w:rsidR="00742C0B" w:rsidRPr="00FC4688" w:rsidRDefault="0032588B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r w:rsidRPr="00FC4688">
            <w:rPr>
              <w:color w:val="FF0000"/>
              <w:lang w:val="es-ES_tradnl"/>
            </w:rPr>
            <w:fldChar w:fldCharType="begin"/>
          </w:r>
          <w:r w:rsidRPr="00FC4688">
            <w:rPr>
              <w:color w:val="FF0000"/>
            </w:rPr>
            <w:instrText xml:space="preserve"> TOC \o "1-3" \h \z \u </w:instrText>
          </w:r>
          <w:r w:rsidRPr="00FC4688">
            <w:rPr>
              <w:color w:val="FF0000"/>
              <w:lang w:val="es-ES_tradnl"/>
            </w:rPr>
            <w:fldChar w:fldCharType="separate"/>
          </w:r>
          <w:hyperlink w:anchor="_Toc117781271" w:history="1">
            <w:r w:rsidR="00742C0B" w:rsidRPr="00FC4688">
              <w:rPr>
                <w:rStyle w:val="Hipervnculo"/>
                <w:lang w:val="es-ES_tradnl"/>
              </w:rPr>
              <w:t>Introducción</w:t>
            </w:r>
            <w:r w:rsidR="00742C0B" w:rsidRPr="00FC4688">
              <w:rPr>
                <w:webHidden/>
              </w:rPr>
              <w:tab/>
            </w:r>
            <w:r w:rsidR="00742C0B" w:rsidRPr="00FC4688">
              <w:rPr>
                <w:webHidden/>
              </w:rPr>
              <w:fldChar w:fldCharType="begin"/>
            </w:r>
            <w:r w:rsidR="00742C0B" w:rsidRPr="00FC4688">
              <w:rPr>
                <w:webHidden/>
              </w:rPr>
              <w:instrText xml:space="preserve"> PAGEREF _Toc117781271 \h </w:instrText>
            </w:r>
            <w:r w:rsidR="00742C0B" w:rsidRPr="00FC4688">
              <w:rPr>
                <w:webHidden/>
              </w:rPr>
            </w:r>
            <w:r w:rsidR="00742C0B" w:rsidRPr="00FC4688">
              <w:rPr>
                <w:webHidden/>
              </w:rPr>
              <w:fldChar w:fldCharType="separate"/>
            </w:r>
            <w:r w:rsidR="005D4340">
              <w:rPr>
                <w:webHidden/>
              </w:rPr>
              <w:t>2</w:t>
            </w:r>
            <w:r w:rsidR="00742C0B" w:rsidRPr="00FC4688">
              <w:rPr>
                <w:webHidden/>
              </w:rPr>
              <w:fldChar w:fldCharType="end"/>
            </w:r>
          </w:hyperlink>
        </w:p>
        <w:p w14:paraId="7C24AA92" w14:textId="6EC4B0C4" w:rsidR="00742C0B" w:rsidRPr="00FC4688" w:rsidRDefault="0000000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hyperlink w:anchor="_Toc117781272" w:history="1">
            <w:r w:rsidR="00742C0B" w:rsidRPr="00FC4688">
              <w:rPr>
                <w:rStyle w:val="Hipervnculo"/>
                <w:lang w:val="es-ES_tradnl"/>
              </w:rPr>
              <w:t>Cambios Metodológicos 2022</w:t>
            </w:r>
            <w:r w:rsidR="00742C0B" w:rsidRPr="00FC4688">
              <w:rPr>
                <w:webHidden/>
              </w:rPr>
              <w:tab/>
            </w:r>
            <w:r w:rsidR="00742C0B" w:rsidRPr="00FC4688">
              <w:rPr>
                <w:webHidden/>
              </w:rPr>
              <w:fldChar w:fldCharType="begin"/>
            </w:r>
            <w:r w:rsidR="00742C0B" w:rsidRPr="00FC4688">
              <w:rPr>
                <w:webHidden/>
              </w:rPr>
              <w:instrText xml:space="preserve"> PAGEREF _Toc117781272 \h </w:instrText>
            </w:r>
            <w:r w:rsidR="00742C0B" w:rsidRPr="00FC4688">
              <w:rPr>
                <w:webHidden/>
              </w:rPr>
            </w:r>
            <w:r w:rsidR="00742C0B" w:rsidRPr="00FC4688">
              <w:rPr>
                <w:webHidden/>
              </w:rPr>
              <w:fldChar w:fldCharType="separate"/>
            </w:r>
            <w:r w:rsidR="005D4340">
              <w:rPr>
                <w:webHidden/>
              </w:rPr>
              <w:t>2</w:t>
            </w:r>
            <w:r w:rsidR="00742C0B" w:rsidRPr="00FC4688">
              <w:rPr>
                <w:webHidden/>
              </w:rPr>
              <w:fldChar w:fldCharType="end"/>
            </w:r>
          </w:hyperlink>
        </w:p>
        <w:p w14:paraId="25B0A2CB" w14:textId="3FEB121F" w:rsidR="00742C0B" w:rsidRPr="00FC4688" w:rsidRDefault="0000000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hyperlink w:anchor="_Toc117781273" w:history="1">
            <w:r w:rsidR="00742C0B" w:rsidRPr="00FC4688">
              <w:rPr>
                <w:rStyle w:val="Hipervnculo"/>
                <w:lang w:val="es-ES_tradnl"/>
              </w:rPr>
              <w:t>I.</w:t>
            </w:r>
            <w:r w:rsidR="00742C0B" w:rsidRPr="00FC4688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s-GT"/>
              </w:rPr>
              <w:tab/>
            </w:r>
            <w:r w:rsidR="00742C0B" w:rsidRPr="00FC4688">
              <w:rPr>
                <w:rStyle w:val="Hipervnculo"/>
                <w:lang w:val="es-ES_tradnl"/>
              </w:rPr>
              <w:t>Ingresos del Gobierno Central Presupuestario</w:t>
            </w:r>
            <w:r w:rsidR="00742C0B" w:rsidRPr="00FC4688">
              <w:rPr>
                <w:webHidden/>
              </w:rPr>
              <w:tab/>
            </w:r>
            <w:r w:rsidR="00742C0B" w:rsidRPr="00FC4688">
              <w:rPr>
                <w:webHidden/>
              </w:rPr>
              <w:fldChar w:fldCharType="begin"/>
            </w:r>
            <w:r w:rsidR="00742C0B" w:rsidRPr="00FC4688">
              <w:rPr>
                <w:webHidden/>
              </w:rPr>
              <w:instrText xml:space="preserve"> PAGEREF _Toc117781273 \h </w:instrText>
            </w:r>
            <w:r w:rsidR="00742C0B" w:rsidRPr="00FC4688">
              <w:rPr>
                <w:webHidden/>
              </w:rPr>
            </w:r>
            <w:r w:rsidR="00742C0B" w:rsidRPr="00FC4688">
              <w:rPr>
                <w:webHidden/>
              </w:rPr>
              <w:fldChar w:fldCharType="separate"/>
            </w:r>
            <w:r w:rsidR="005D4340">
              <w:rPr>
                <w:webHidden/>
              </w:rPr>
              <w:t>2</w:t>
            </w:r>
            <w:r w:rsidR="00742C0B" w:rsidRPr="00FC4688">
              <w:rPr>
                <w:webHidden/>
              </w:rPr>
              <w:fldChar w:fldCharType="end"/>
            </w:r>
          </w:hyperlink>
        </w:p>
        <w:p w14:paraId="0462140D" w14:textId="3118B387" w:rsidR="00742C0B" w:rsidRPr="00FC4688" w:rsidRDefault="00000000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117781274" w:history="1">
            <w:r w:rsidR="00742C0B" w:rsidRPr="00FC4688">
              <w:rPr>
                <w:rStyle w:val="Hipervnculo"/>
                <w:rFonts w:cs="Times New Roman"/>
                <w:noProof/>
              </w:rPr>
              <w:t>1.1</w:t>
            </w:r>
            <w:r w:rsidR="00742C0B" w:rsidRPr="00FC4688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742C0B" w:rsidRPr="00FC4688">
              <w:rPr>
                <w:rStyle w:val="Hipervnculo"/>
                <w:rFonts w:cs="Times New Roman"/>
                <w:noProof/>
              </w:rPr>
              <w:t>El comportamiento de los ingresos es positivo</w:t>
            </w:r>
            <w:r w:rsidR="00742C0B" w:rsidRPr="00FC4688">
              <w:rPr>
                <w:noProof/>
                <w:webHidden/>
              </w:rPr>
              <w:tab/>
            </w:r>
            <w:r w:rsidR="00742C0B" w:rsidRPr="00FC4688">
              <w:rPr>
                <w:noProof/>
                <w:webHidden/>
              </w:rPr>
              <w:fldChar w:fldCharType="begin"/>
            </w:r>
            <w:r w:rsidR="00742C0B" w:rsidRPr="00FC4688">
              <w:rPr>
                <w:noProof/>
                <w:webHidden/>
              </w:rPr>
              <w:instrText xml:space="preserve"> PAGEREF _Toc117781274 \h </w:instrText>
            </w:r>
            <w:r w:rsidR="00742C0B" w:rsidRPr="00FC4688">
              <w:rPr>
                <w:noProof/>
                <w:webHidden/>
              </w:rPr>
            </w:r>
            <w:r w:rsidR="00742C0B" w:rsidRPr="00FC4688">
              <w:rPr>
                <w:noProof/>
                <w:webHidden/>
              </w:rPr>
              <w:fldChar w:fldCharType="separate"/>
            </w:r>
            <w:r w:rsidR="005D4340">
              <w:rPr>
                <w:noProof/>
                <w:webHidden/>
              </w:rPr>
              <w:t>2</w:t>
            </w:r>
            <w:r w:rsidR="00742C0B" w:rsidRPr="00FC4688">
              <w:rPr>
                <w:noProof/>
                <w:webHidden/>
              </w:rPr>
              <w:fldChar w:fldCharType="end"/>
            </w:r>
          </w:hyperlink>
        </w:p>
        <w:p w14:paraId="41A7E315" w14:textId="31720469" w:rsidR="00742C0B" w:rsidRPr="00FC4688" w:rsidRDefault="00000000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117781275" w:history="1">
            <w:r w:rsidR="00742C0B" w:rsidRPr="00FC4688">
              <w:rPr>
                <w:rStyle w:val="Hipervnculo"/>
                <w:rFonts w:cs="Times New Roman"/>
                <w:noProof/>
              </w:rPr>
              <w:t>1.2</w:t>
            </w:r>
            <w:r w:rsidR="00742C0B" w:rsidRPr="00FC4688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742C0B" w:rsidRPr="00FC4688">
              <w:rPr>
                <w:rStyle w:val="Hipervnculo"/>
                <w:rFonts w:cs="Times New Roman"/>
                <w:noProof/>
              </w:rPr>
              <w:t>Los impuestos siguen mostrando un comportamiento positivo</w:t>
            </w:r>
            <w:r w:rsidR="00742C0B" w:rsidRPr="00FC4688">
              <w:rPr>
                <w:noProof/>
                <w:webHidden/>
              </w:rPr>
              <w:tab/>
            </w:r>
            <w:r w:rsidR="00742C0B" w:rsidRPr="00FC4688">
              <w:rPr>
                <w:noProof/>
                <w:webHidden/>
              </w:rPr>
              <w:fldChar w:fldCharType="begin"/>
            </w:r>
            <w:r w:rsidR="00742C0B" w:rsidRPr="00FC4688">
              <w:rPr>
                <w:noProof/>
                <w:webHidden/>
              </w:rPr>
              <w:instrText xml:space="preserve"> PAGEREF _Toc117781275 \h </w:instrText>
            </w:r>
            <w:r w:rsidR="00742C0B" w:rsidRPr="00FC4688">
              <w:rPr>
                <w:noProof/>
                <w:webHidden/>
              </w:rPr>
            </w:r>
            <w:r w:rsidR="00742C0B" w:rsidRPr="00FC4688">
              <w:rPr>
                <w:noProof/>
                <w:webHidden/>
              </w:rPr>
              <w:fldChar w:fldCharType="separate"/>
            </w:r>
            <w:r w:rsidR="005D4340">
              <w:rPr>
                <w:noProof/>
                <w:webHidden/>
              </w:rPr>
              <w:t>3</w:t>
            </w:r>
            <w:r w:rsidR="00742C0B" w:rsidRPr="00FC4688">
              <w:rPr>
                <w:noProof/>
                <w:webHidden/>
              </w:rPr>
              <w:fldChar w:fldCharType="end"/>
            </w:r>
          </w:hyperlink>
        </w:p>
        <w:p w14:paraId="60BF647C" w14:textId="29D92C03" w:rsidR="00742C0B" w:rsidRPr="00FC4688" w:rsidRDefault="0000000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hyperlink w:anchor="_Toc117781279" w:history="1">
            <w:r w:rsidR="00742C0B" w:rsidRPr="00FC4688">
              <w:rPr>
                <w:rStyle w:val="Hipervnculo"/>
                <w:lang w:val="es-ES_tradnl"/>
              </w:rPr>
              <w:t>II.</w:t>
            </w:r>
            <w:r w:rsidR="00742C0B" w:rsidRPr="00FC4688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s-GT"/>
              </w:rPr>
              <w:tab/>
            </w:r>
            <w:r w:rsidR="00742C0B" w:rsidRPr="00FC4688">
              <w:rPr>
                <w:rStyle w:val="Hipervnculo"/>
                <w:lang w:val="es-ES_tradnl"/>
              </w:rPr>
              <w:t>Gasto Público del Gobierno Central Presupuestario</w:t>
            </w:r>
            <w:r w:rsidR="00742C0B" w:rsidRPr="00FC4688">
              <w:rPr>
                <w:webHidden/>
              </w:rPr>
              <w:tab/>
            </w:r>
            <w:r w:rsidR="00742C0B" w:rsidRPr="00FC4688">
              <w:rPr>
                <w:webHidden/>
              </w:rPr>
              <w:fldChar w:fldCharType="begin"/>
            </w:r>
            <w:r w:rsidR="00742C0B" w:rsidRPr="00FC4688">
              <w:rPr>
                <w:webHidden/>
              </w:rPr>
              <w:instrText xml:space="preserve"> PAGEREF _Toc117781279 \h </w:instrText>
            </w:r>
            <w:r w:rsidR="00742C0B" w:rsidRPr="00FC4688">
              <w:rPr>
                <w:webHidden/>
              </w:rPr>
            </w:r>
            <w:r w:rsidR="00742C0B" w:rsidRPr="00FC4688">
              <w:rPr>
                <w:webHidden/>
              </w:rPr>
              <w:fldChar w:fldCharType="separate"/>
            </w:r>
            <w:r w:rsidR="005D4340">
              <w:rPr>
                <w:webHidden/>
              </w:rPr>
              <w:t>4</w:t>
            </w:r>
            <w:r w:rsidR="00742C0B" w:rsidRPr="00FC4688">
              <w:rPr>
                <w:webHidden/>
              </w:rPr>
              <w:fldChar w:fldCharType="end"/>
            </w:r>
          </w:hyperlink>
        </w:p>
        <w:p w14:paraId="297ECA4E" w14:textId="698C8F53" w:rsidR="00742C0B" w:rsidRPr="00FC4688" w:rsidRDefault="00000000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117781282" w:history="1">
            <w:r w:rsidR="00742C0B" w:rsidRPr="00FC4688">
              <w:rPr>
                <w:rStyle w:val="Hipervnculo"/>
                <w:rFonts w:cs="Times New Roman"/>
                <w:noProof/>
              </w:rPr>
              <w:t>2.1</w:t>
            </w:r>
            <w:r w:rsidR="00742C0B" w:rsidRPr="00FC4688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742C0B" w:rsidRPr="00FC4688">
              <w:rPr>
                <w:rStyle w:val="Hipervnculo"/>
                <w:rFonts w:cs="Times New Roman"/>
                <w:noProof/>
              </w:rPr>
              <w:t>El gasto público presenta mayor dinamismo</w:t>
            </w:r>
            <w:r w:rsidR="00742C0B" w:rsidRPr="00FC4688">
              <w:rPr>
                <w:noProof/>
                <w:webHidden/>
              </w:rPr>
              <w:tab/>
            </w:r>
            <w:r w:rsidR="00742C0B" w:rsidRPr="00FC4688">
              <w:rPr>
                <w:noProof/>
                <w:webHidden/>
              </w:rPr>
              <w:fldChar w:fldCharType="begin"/>
            </w:r>
            <w:r w:rsidR="00742C0B" w:rsidRPr="00FC4688">
              <w:rPr>
                <w:noProof/>
                <w:webHidden/>
              </w:rPr>
              <w:instrText xml:space="preserve"> PAGEREF _Toc117781282 \h </w:instrText>
            </w:r>
            <w:r w:rsidR="00742C0B" w:rsidRPr="00FC4688">
              <w:rPr>
                <w:noProof/>
                <w:webHidden/>
              </w:rPr>
            </w:r>
            <w:r w:rsidR="00742C0B" w:rsidRPr="00FC4688">
              <w:rPr>
                <w:noProof/>
                <w:webHidden/>
              </w:rPr>
              <w:fldChar w:fldCharType="separate"/>
            </w:r>
            <w:r w:rsidR="005D4340">
              <w:rPr>
                <w:noProof/>
                <w:webHidden/>
              </w:rPr>
              <w:t>4</w:t>
            </w:r>
            <w:r w:rsidR="00742C0B" w:rsidRPr="00FC4688">
              <w:rPr>
                <w:noProof/>
                <w:webHidden/>
              </w:rPr>
              <w:fldChar w:fldCharType="end"/>
            </w:r>
          </w:hyperlink>
        </w:p>
        <w:p w14:paraId="0023E356" w14:textId="0F23F487" w:rsidR="00742C0B" w:rsidRPr="00FC4688" w:rsidRDefault="0000000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hyperlink w:anchor="_Toc117781283" w:history="1">
            <w:r w:rsidR="00742C0B" w:rsidRPr="00FC4688">
              <w:rPr>
                <w:rStyle w:val="Hipervnculo"/>
                <w:lang w:val="es-MX"/>
              </w:rPr>
              <w:t>III.</w:t>
            </w:r>
            <w:r w:rsidR="00742C0B" w:rsidRPr="00FC4688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s-GT"/>
              </w:rPr>
              <w:tab/>
            </w:r>
            <w:r w:rsidR="00742C0B" w:rsidRPr="00FC4688">
              <w:rPr>
                <w:rStyle w:val="Hipervnculo"/>
                <w:lang w:val="es-MX"/>
              </w:rPr>
              <w:t>Transacciones en Activos No Financieros</w:t>
            </w:r>
            <w:r w:rsidR="00742C0B" w:rsidRPr="00FC4688">
              <w:rPr>
                <w:webHidden/>
              </w:rPr>
              <w:tab/>
            </w:r>
            <w:r w:rsidR="00742C0B" w:rsidRPr="00FC4688">
              <w:rPr>
                <w:webHidden/>
              </w:rPr>
              <w:fldChar w:fldCharType="begin"/>
            </w:r>
            <w:r w:rsidR="00742C0B" w:rsidRPr="00FC4688">
              <w:rPr>
                <w:webHidden/>
              </w:rPr>
              <w:instrText xml:space="preserve"> PAGEREF _Toc117781283 \h </w:instrText>
            </w:r>
            <w:r w:rsidR="00742C0B" w:rsidRPr="00FC4688">
              <w:rPr>
                <w:webHidden/>
              </w:rPr>
            </w:r>
            <w:r w:rsidR="00742C0B" w:rsidRPr="00FC4688">
              <w:rPr>
                <w:webHidden/>
              </w:rPr>
              <w:fldChar w:fldCharType="separate"/>
            </w:r>
            <w:r w:rsidR="005D4340">
              <w:rPr>
                <w:webHidden/>
              </w:rPr>
              <w:t>5</w:t>
            </w:r>
            <w:r w:rsidR="00742C0B" w:rsidRPr="00FC4688">
              <w:rPr>
                <w:webHidden/>
              </w:rPr>
              <w:fldChar w:fldCharType="end"/>
            </w:r>
          </w:hyperlink>
        </w:p>
        <w:p w14:paraId="7BD51B47" w14:textId="5578F697" w:rsidR="00742C0B" w:rsidRPr="00FC4688" w:rsidRDefault="00000000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117781285" w:history="1">
            <w:r w:rsidR="00742C0B" w:rsidRPr="00FC4688">
              <w:rPr>
                <w:rStyle w:val="Hipervnculo"/>
                <w:rFonts w:cs="Times New Roman"/>
                <w:noProof/>
              </w:rPr>
              <w:t>3.1</w:t>
            </w:r>
            <w:r w:rsidR="00742C0B" w:rsidRPr="00FC4688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742C0B" w:rsidRPr="00FC4688">
              <w:rPr>
                <w:rStyle w:val="Hipervnculo"/>
                <w:rFonts w:cs="Times New Roman"/>
                <w:noProof/>
              </w:rPr>
              <w:t>La inversión refleja un crecimiento respecto a 2021</w:t>
            </w:r>
            <w:r w:rsidR="00742C0B" w:rsidRPr="00FC4688">
              <w:rPr>
                <w:noProof/>
                <w:webHidden/>
              </w:rPr>
              <w:tab/>
            </w:r>
            <w:r w:rsidR="00742C0B" w:rsidRPr="00FC4688">
              <w:rPr>
                <w:noProof/>
                <w:webHidden/>
              </w:rPr>
              <w:fldChar w:fldCharType="begin"/>
            </w:r>
            <w:r w:rsidR="00742C0B" w:rsidRPr="00FC4688">
              <w:rPr>
                <w:noProof/>
                <w:webHidden/>
              </w:rPr>
              <w:instrText xml:space="preserve"> PAGEREF _Toc117781285 \h </w:instrText>
            </w:r>
            <w:r w:rsidR="00742C0B" w:rsidRPr="00FC4688">
              <w:rPr>
                <w:noProof/>
                <w:webHidden/>
              </w:rPr>
            </w:r>
            <w:r w:rsidR="00742C0B" w:rsidRPr="00FC4688">
              <w:rPr>
                <w:noProof/>
                <w:webHidden/>
              </w:rPr>
              <w:fldChar w:fldCharType="separate"/>
            </w:r>
            <w:r w:rsidR="005D4340">
              <w:rPr>
                <w:noProof/>
                <w:webHidden/>
              </w:rPr>
              <w:t>5</w:t>
            </w:r>
            <w:r w:rsidR="00742C0B" w:rsidRPr="00FC4688">
              <w:rPr>
                <w:noProof/>
                <w:webHidden/>
              </w:rPr>
              <w:fldChar w:fldCharType="end"/>
            </w:r>
          </w:hyperlink>
        </w:p>
        <w:p w14:paraId="3984661C" w14:textId="2E05FE9D" w:rsidR="00742C0B" w:rsidRPr="00FC4688" w:rsidRDefault="0000000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hyperlink w:anchor="_Toc117781286" w:history="1">
            <w:r w:rsidR="00742C0B" w:rsidRPr="00FC4688">
              <w:rPr>
                <w:rStyle w:val="Hipervnculo"/>
                <w:lang w:val="es-MX"/>
              </w:rPr>
              <w:t>IV.</w:t>
            </w:r>
            <w:r w:rsidR="00742C0B" w:rsidRPr="00FC4688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s-GT"/>
              </w:rPr>
              <w:tab/>
            </w:r>
            <w:r w:rsidR="00742C0B" w:rsidRPr="00FC4688">
              <w:rPr>
                <w:rStyle w:val="Hipervnculo"/>
                <w:lang w:val="es-MX"/>
              </w:rPr>
              <w:t>Financiamiento</w:t>
            </w:r>
            <w:r w:rsidR="00742C0B" w:rsidRPr="00FC4688">
              <w:rPr>
                <w:webHidden/>
              </w:rPr>
              <w:tab/>
            </w:r>
            <w:r w:rsidR="00742C0B" w:rsidRPr="00FC4688">
              <w:rPr>
                <w:webHidden/>
              </w:rPr>
              <w:fldChar w:fldCharType="begin"/>
            </w:r>
            <w:r w:rsidR="00742C0B" w:rsidRPr="00FC4688">
              <w:rPr>
                <w:webHidden/>
              </w:rPr>
              <w:instrText xml:space="preserve"> PAGEREF _Toc117781286 \h </w:instrText>
            </w:r>
            <w:r w:rsidR="00742C0B" w:rsidRPr="00FC4688">
              <w:rPr>
                <w:webHidden/>
              </w:rPr>
            </w:r>
            <w:r w:rsidR="00742C0B" w:rsidRPr="00FC4688">
              <w:rPr>
                <w:webHidden/>
              </w:rPr>
              <w:fldChar w:fldCharType="separate"/>
            </w:r>
            <w:r w:rsidR="005D4340">
              <w:rPr>
                <w:webHidden/>
              </w:rPr>
              <w:t>6</w:t>
            </w:r>
            <w:r w:rsidR="00742C0B" w:rsidRPr="00FC4688">
              <w:rPr>
                <w:webHidden/>
              </w:rPr>
              <w:fldChar w:fldCharType="end"/>
            </w:r>
          </w:hyperlink>
        </w:p>
        <w:p w14:paraId="274E1704" w14:textId="6E167A19" w:rsidR="00742C0B" w:rsidRPr="00FC4688" w:rsidRDefault="00000000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117781288" w:history="1">
            <w:r w:rsidR="00742C0B" w:rsidRPr="00FC4688">
              <w:rPr>
                <w:rStyle w:val="Hipervnculo"/>
                <w:rFonts w:cs="Times New Roman"/>
                <w:noProof/>
              </w:rPr>
              <w:t>4.1</w:t>
            </w:r>
            <w:r w:rsidR="00742C0B" w:rsidRPr="00FC4688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742C0B" w:rsidRPr="00FC4688">
              <w:rPr>
                <w:rStyle w:val="Hipervnculo"/>
                <w:rFonts w:cs="Times New Roman"/>
                <w:noProof/>
              </w:rPr>
              <w:t>Aumentaron los activos financieros.</w:t>
            </w:r>
            <w:r w:rsidR="00742C0B" w:rsidRPr="00FC4688">
              <w:rPr>
                <w:noProof/>
                <w:webHidden/>
              </w:rPr>
              <w:tab/>
            </w:r>
            <w:r w:rsidR="00742C0B" w:rsidRPr="00FC4688">
              <w:rPr>
                <w:noProof/>
                <w:webHidden/>
              </w:rPr>
              <w:fldChar w:fldCharType="begin"/>
            </w:r>
            <w:r w:rsidR="00742C0B" w:rsidRPr="00FC4688">
              <w:rPr>
                <w:noProof/>
                <w:webHidden/>
              </w:rPr>
              <w:instrText xml:space="preserve"> PAGEREF _Toc117781288 \h </w:instrText>
            </w:r>
            <w:r w:rsidR="00742C0B" w:rsidRPr="00FC4688">
              <w:rPr>
                <w:noProof/>
                <w:webHidden/>
              </w:rPr>
            </w:r>
            <w:r w:rsidR="00742C0B" w:rsidRPr="00FC4688">
              <w:rPr>
                <w:noProof/>
                <w:webHidden/>
              </w:rPr>
              <w:fldChar w:fldCharType="separate"/>
            </w:r>
            <w:r w:rsidR="005D4340">
              <w:rPr>
                <w:noProof/>
                <w:webHidden/>
              </w:rPr>
              <w:t>6</w:t>
            </w:r>
            <w:r w:rsidR="00742C0B" w:rsidRPr="00FC4688">
              <w:rPr>
                <w:noProof/>
                <w:webHidden/>
              </w:rPr>
              <w:fldChar w:fldCharType="end"/>
            </w:r>
          </w:hyperlink>
        </w:p>
        <w:p w14:paraId="79D5BBEE" w14:textId="776A8FDA" w:rsidR="00742C0B" w:rsidRPr="00FC4688" w:rsidRDefault="00000000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117781289" w:history="1">
            <w:r w:rsidR="00742C0B" w:rsidRPr="00FC4688">
              <w:rPr>
                <w:rStyle w:val="Hipervnculo"/>
                <w:rFonts w:cs="Times New Roman"/>
                <w:noProof/>
              </w:rPr>
              <w:t>4.2</w:t>
            </w:r>
            <w:r w:rsidR="00742C0B" w:rsidRPr="00FC4688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742C0B" w:rsidRPr="00FC4688">
              <w:rPr>
                <w:rStyle w:val="Hipervnculo"/>
                <w:rFonts w:cs="Times New Roman"/>
                <w:noProof/>
              </w:rPr>
              <w:t>Se incrementaron los pasivos</w:t>
            </w:r>
            <w:r w:rsidR="00742C0B" w:rsidRPr="00FC4688">
              <w:rPr>
                <w:noProof/>
                <w:webHidden/>
              </w:rPr>
              <w:tab/>
            </w:r>
            <w:r w:rsidR="00742C0B" w:rsidRPr="00FC4688">
              <w:rPr>
                <w:noProof/>
                <w:webHidden/>
              </w:rPr>
              <w:fldChar w:fldCharType="begin"/>
            </w:r>
            <w:r w:rsidR="00742C0B" w:rsidRPr="00FC4688">
              <w:rPr>
                <w:noProof/>
                <w:webHidden/>
              </w:rPr>
              <w:instrText xml:space="preserve"> PAGEREF _Toc117781289 \h </w:instrText>
            </w:r>
            <w:r w:rsidR="00742C0B" w:rsidRPr="00FC4688">
              <w:rPr>
                <w:noProof/>
                <w:webHidden/>
              </w:rPr>
            </w:r>
            <w:r w:rsidR="00742C0B" w:rsidRPr="00FC4688">
              <w:rPr>
                <w:noProof/>
                <w:webHidden/>
              </w:rPr>
              <w:fldChar w:fldCharType="separate"/>
            </w:r>
            <w:r w:rsidR="005D4340">
              <w:rPr>
                <w:noProof/>
                <w:webHidden/>
              </w:rPr>
              <w:t>6</w:t>
            </w:r>
            <w:r w:rsidR="00742C0B" w:rsidRPr="00FC4688">
              <w:rPr>
                <w:noProof/>
                <w:webHidden/>
              </w:rPr>
              <w:fldChar w:fldCharType="end"/>
            </w:r>
          </w:hyperlink>
        </w:p>
        <w:p w14:paraId="1797A49B" w14:textId="62B6F0C3" w:rsidR="00742C0B" w:rsidRPr="00FC4688" w:rsidRDefault="0000000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hyperlink w:anchor="_Toc117781290" w:history="1">
            <w:r w:rsidR="00742C0B" w:rsidRPr="00FC4688">
              <w:rPr>
                <w:rStyle w:val="Hipervnculo"/>
                <w:lang w:val="es-ES_tradnl"/>
              </w:rPr>
              <w:t>V.</w:t>
            </w:r>
            <w:r w:rsidR="00742C0B" w:rsidRPr="00FC4688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s-GT"/>
              </w:rPr>
              <w:tab/>
            </w:r>
            <w:r w:rsidR="00742C0B" w:rsidRPr="00FC4688">
              <w:rPr>
                <w:rStyle w:val="Hipervnculo"/>
                <w:lang w:val="es-ES_tradnl"/>
              </w:rPr>
              <w:t>Erogaciones del Gobierno Central Presupuestario</w:t>
            </w:r>
            <w:r w:rsidR="00742C0B" w:rsidRPr="00FC4688">
              <w:rPr>
                <w:webHidden/>
              </w:rPr>
              <w:tab/>
            </w:r>
            <w:r w:rsidR="00742C0B" w:rsidRPr="00FC4688">
              <w:rPr>
                <w:webHidden/>
              </w:rPr>
              <w:fldChar w:fldCharType="begin"/>
            </w:r>
            <w:r w:rsidR="00742C0B" w:rsidRPr="00FC4688">
              <w:rPr>
                <w:webHidden/>
              </w:rPr>
              <w:instrText xml:space="preserve"> PAGEREF _Toc117781290 \h </w:instrText>
            </w:r>
            <w:r w:rsidR="00742C0B" w:rsidRPr="00FC4688">
              <w:rPr>
                <w:webHidden/>
              </w:rPr>
            </w:r>
            <w:r w:rsidR="00742C0B" w:rsidRPr="00FC4688">
              <w:rPr>
                <w:webHidden/>
              </w:rPr>
              <w:fldChar w:fldCharType="separate"/>
            </w:r>
            <w:r w:rsidR="005D4340">
              <w:rPr>
                <w:webHidden/>
              </w:rPr>
              <w:t>7</w:t>
            </w:r>
            <w:r w:rsidR="00742C0B" w:rsidRPr="00FC4688">
              <w:rPr>
                <w:webHidden/>
              </w:rPr>
              <w:fldChar w:fldCharType="end"/>
            </w:r>
          </w:hyperlink>
        </w:p>
        <w:p w14:paraId="2F928DA0" w14:textId="5DD046A0" w:rsidR="00742C0B" w:rsidRPr="00FC4688" w:rsidRDefault="00000000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117781297" w:history="1">
            <w:r w:rsidR="00742C0B" w:rsidRPr="00FC4688">
              <w:rPr>
                <w:rStyle w:val="Hipervnculo"/>
                <w:rFonts w:cs="Times New Roman"/>
                <w:noProof/>
              </w:rPr>
              <w:t>5.1</w:t>
            </w:r>
            <w:r w:rsidR="00742C0B" w:rsidRPr="00FC4688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742C0B" w:rsidRPr="00FC4688">
              <w:rPr>
                <w:rStyle w:val="Hipervnculo"/>
                <w:rFonts w:cs="Times New Roman"/>
                <w:noProof/>
              </w:rPr>
              <w:t>Erogaciones por Función continúan incrementándose</w:t>
            </w:r>
            <w:r w:rsidR="00742C0B" w:rsidRPr="00FC4688">
              <w:rPr>
                <w:noProof/>
                <w:webHidden/>
              </w:rPr>
              <w:tab/>
            </w:r>
            <w:r w:rsidR="00742C0B" w:rsidRPr="00FC4688">
              <w:rPr>
                <w:noProof/>
                <w:webHidden/>
              </w:rPr>
              <w:fldChar w:fldCharType="begin"/>
            </w:r>
            <w:r w:rsidR="00742C0B" w:rsidRPr="00FC4688">
              <w:rPr>
                <w:noProof/>
                <w:webHidden/>
              </w:rPr>
              <w:instrText xml:space="preserve"> PAGEREF _Toc117781297 \h </w:instrText>
            </w:r>
            <w:r w:rsidR="00742C0B" w:rsidRPr="00FC4688">
              <w:rPr>
                <w:noProof/>
                <w:webHidden/>
              </w:rPr>
            </w:r>
            <w:r w:rsidR="00742C0B" w:rsidRPr="00FC4688">
              <w:rPr>
                <w:noProof/>
                <w:webHidden/>
              </w:rPr>
              <w:fldChar w:fldCharType="separate"/>
            </w:r>
            <w:r w:rsidR="005D4340">
              <w:rPr>
                <w:noProof/>
                <w:webHidden/>
              </w:rPr>
              <w:t>7</w:t>
            </w:r>
            <w:r w:rsidR="00742C0B" w:rsidRPr="00FC4688">
              <w:rPr>
                <w:noProof/>
                <w:webHidden/>
              </w:rPr>
              <w:fldChar w:fldCharType="end"/>
            </w:r>
          </w:hyperlink>
        </w:p>
        <w:p w14:paraId="244FF943" w14:textId="1697C134" w:rsidR="00742C0B" w:rsidRPr="00FC4688" w:rsidRDefault="00000000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117781298" w:history="1">
            <w:r w:rsidR="00742C0B" w:rsidRPr="00FC4688">
              <w:rPr>
                <w:rStyle w:val="Hipervnculo"/>
                <w:rFonts w:cs="Times New Roman"/>
                <w:noProof/>
              </w:rPr>
              <w:t>5.2</w:t>
            </w:r>
            <w:r w:rsidR="00742C0B" w:rsidRPr="00FC4688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742C0B" w:rsidRPr="00FC4688">
              <w:rPr>
                <w:rStyle w:val="Hipervnculo"/>
                <w:rFonts w:cs="Times New Roman"/>
                <w:noProof/>
              </w:rPr>
              <w:t>Grado de Ejecución Presupuestaria</w:t>
            </w:r>
            <w:r w:rsidR="00742C0B" w:rsidRPr="00FC4688">
              <w:rPr>
                <w:noProof/>
                <w:webHidden/>
              </w:rPr>
              <w:tab/>
            </w:r>
            <w:r w:rsidR="00742C0B" w:rsidRPr="00FC4688">
              <w:rPr>
                <w:noProof/>
                <w:webHidden/>
              </w:rPr>
              <w:fldChar w:fldCharType="begin"/>
            </w:r>
            <w:r w:rsidR="00742C0B" w:rsidRPr="00FC4688">
              <w:rPr>
                <w:noProof/>
                <w:webHidden/>
              </w:rPr>
              <w:instrText xml:space="preserve"> PAGEREF _Toc117781298 \h </w:instrText>
            </w:r>
            <w:r w:rsidR="00742C0B" w:rsidRPr="00FC4688">
              <w:rPr>
                <w:noProof/>
                <w:webHidden/>
              </w:rPr>
            </w:r>
            <w:r w:rsidR="00742C0B" w:rsidRPr="00FC4688">
              <w:rPr>
                <w:noProof/>
                <w:webHidden/>
              </w:rPr>
              <w:fldChar w:fldCharType="separate"/>
            </w:r>
            <w:r w:rsidR="005D4340">
              <w:rPr>
                <w:noProof/>
                <w:webHidden/>
              </w:rPr>
              <w:t>8</w:t>
            </w:r>
            <w:r w:rsidR="00742C0B" w:rsidRPr="00FC4688">
              <w:rPr>
                <w:noProof/>
                <w:webHidden/>
              </w:rPr>
              <w:fldChar w:fldCharType="end"/>
            </w:r>
          </w:hyperlink>
        </w:p>
        <w:p w14:paraId="2B1A336B" w14:textId="45EC2864" w:rsidR="00742C0B" w:rsidRPr="00FC4688" w:rsidRDefault="00000000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szCs w:val="22"/>
              <w:lang w:eastAsia="es-GT"/>
            </w:rPr>
          </w:pPr>
          <w:hyperlink w:anchor="_Toc117781299" w:history="1">
            <w:r w:rsidR="00742C0B" w:rsidRPr="00FC4688">
              <w:rPr>
                <w:rStyle w:val="Hipervnculo"/>
                <w:lang w:val="es-MX"/>
              </w:rPr>
              <w:t>VI.</w:t>
            </w:r>
            <w:r w:rsidR="00742C0B" w:rsidRPr="00FC4688">
              <w:rPr>
                <w:rFonts w:asciiTheme="minorHAnsi" w:eastAsiaTheme="minorEastAsia" w:hAnsiTheme="minorHAnsi" w:cstheme="minorBidi"/>
                <w:b w:val="0"/>
                <w:bCs w:val="0"/>
                <w:szCs w:val="22"/>
                <w:lang w:eastAsia="es-GT"/>
              </w:rPr>
              <w:tab/>
            </w:r>
            <w:r w:rsidR="00742C0B" w:rsidRPr="00FC4688">
              <w:rPr>
                <w:rStyle w:val="Hipervnculo"/>
                <w:lang w:val="es-MX"/>
              </w:rPr>
              <w:t>Resultado Fiscal</w:t>
            </w:r>
            <w:r w:rsidR="00742C0B" w:rsidRPr="00FC4688">
              <w:rPr>
                <w:webHidden/>
              </w:rPr>
              <w:tab/>
            </w:r>
            <w:r w:rsidR="00742C0B" w:rsidRPr="00FC4688">
              <w:rPr>
                <w:webHidden/>
              </w:rPr>
              <w:fldChar w:fldCharType="begin"/>
            </w:r>
            <w:r w:rsidR="00742C0B" w:rsidRPr="00FC4688">
              <w:rPr>
                <w:webHidden/>
              </w:rPr>
              <w:instrText xml:space="preserve"> PAGEREF _Toc117781299 \h </w:instrText>
            </w:r>
            <w:r w:rsidR="00742C0B" w:rsidRPr="00FC4688">
              <w:rPr>
                <w:webHidden/>
              </w:rPr>
            </w:r>
            <w:r w:rsidR="00742C0B" w:rsidRPr="00FC4688">
              <w:rPr>
                <w:webHidden/>
              </w:rPr>
              <w:fldChar w:fldCharType="separate"/>
            </w:r>
            <w:r w:rsidR="005D4340">
              <w:rPr>
                <w:webHidden/>
              </w:rPr>
              <w:t>9</w:t>
            </w:r>
            <w:r w:rsidR="00742C0B" w:rsidRPr="00FC4688">
              <w:rPr>
                <w:webHidden/>
              </w:rPr>
              <w:fldChar w:fldCharType="end"/>
            </w:r>
          </w:hyperlink>
        </w:p>
        <w:p w14:paraId="27334C91" w14:textId="30572D3B" w:rsidR="00742C0B" w:rsidRPr="00FC4688" w:rsidRDefault="00000000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117781301" w:history="1">
            <w:r w:rsidR="00742C0B" w:rsidRPr="00FC4688">
              <w:rPr>
                <w:rStyle w:val="Hipervnculo"/>
                <w:rFonts w:cs="Times New Roman"/>
                <w:noProof/>
              </w:rPr>
              <w:t>6.1</w:t>
            </w:r>
            <w:r w:rsidR="00742C0B" w:rsidRPr="00FC4688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742C0B" w:rsidRPr="00FC4688">
              <w:rPr>
                <w:rStyle w:val="Hipervnculo"/>
                <w:rFonts w:cs="Times New Roman"/>
                <w:noProof/>
              </w:rPr>
              <w:t>Resultado Operativo es negativo</w:t>
            </w:r>
            <w:r w:rsidR="00742C0B" w:rsidRPr="00FC4688">
              <w:rPr>
                <w:noProof/>
                <w:webHidden/>
              </w:rPr>
              <w:tab/>
            </w:r>
            <w:r w:rsidR="00742C0B" w:rsidRPr="00FC4688">
              <w:rPr>
                <w:noProof/>
                <w:webHidden/>
              </w:rPr>
              <w:fldChar w:fldCharType="begin"/>
            </w:r>
            <w:r w:rsidR="00742C0B" w:rsidRPr="00FC4688">
              <w:rPr>
                <w:noProof/>
                <w:webHidden/>
              </w:rPr>
              <w:instrText xml:space="preserve"> PAGEREF _Toc117781301 \h </w:instrText>
            </w:r>
            <w:r w:rsidR="00742C0B" w:rsidRPr="00FC4688">
              <w:rPr>
                <w:noProof/>
                <w:webHidden/>
              </w:rPr>
            </w:r>
            <w:r w:rsidR="00742C0B" w:rsidRPr="00FC4688">
              <w:rPr>
                <w:noProof/>
                <w:webHidden/>
              </w:rPr>
              <w:fldChar w:fldCharType="separate"/>
            </w:r>
            <w:r w:rsidR="005D4340">
              <w:rPr>
                <w:noProof/>
                <w:webHidden/>
              </w:rPr>
              <w:t>9</w:t>
            </w:r>
            <w:r w:rsidR="00742C0B" w:rsidRPr="00FC4688">
              <w:rPr>
                <w:noProof/>
                <w:webHidden/>
              </w:rPr>
              <w:fldChar w:fldCharType="end"/>
            </w:r>
          </w:hyperlink>
        </w:p>
        <w:p w14:paraId="760D0F18" w14:textId="0C0FA672" w:rsidR="00742C0B" w:rsidRPr="00FC4688" w:rsidRDefault="00000000">
          <w:pPr>
            <w:pStyle w:val="TDC2"/>
            <w:rPr>
              <w:rFonts w:asciiTheme="minorHAnsi" w:hAnsiTheme="minorHAnsi"/>
              <w:noProof/>
              <w:szCs w:val="22"/>
              <w:lang w:eastAsia="es-GT"/>
            </w:rPr>
          </w:pPr>
          <w:hyperlink w:anchor="_Toc117781302" w:history="1">
            <w:r w:rsidR="00742C0B" w:rsidRPr="00FC4688">
              <w:rPr>
                <w:rStyle w:val="Hipervnculo"/>
                <w:rFonts w:cs="Times New Roman"/>
                <w:noProof/>
              </w:rPr>
              <w:t>6.2</w:t>
            </w:r>
            <w:r w:rsidR="00742C0B" w:rsidRPr="00FC4688">
              <w:rPr>
                <w:rFonts w:asciiTheme="minorHAnsi" w:hAnsiTheme="minorHAnsi"/>
                <w:noProof/>
                <w:szCs w:val="22"/>
                <w:lang w:eastAsia="es-GT"/>
              </w:rPr>
              <w:tab/>
            </w:r>
            <w:r w:rsidR="00742C0B" w:rsidRPr="00FC4688">
              <w:rPr>
                <w:rStyle w:val="Hipervnculo"/>
                <w:rFonts w:cs="Times New Roman"/>
                <w:noProof/>
              </w:rPr>
              <w:t>Hay déficit al finalizar el tercer trimestre 2022</w:t>
            </w:r>
            <w:r w:rsidR="00742C0B" w:rsidRPr="00FC4688">
              <w:rPr>
                <w:noProof/>
                <w:webHidden/>
              </w:rPr>
              <w:tab/>
            </w:r>
            <w:r w:rsidR="00742C0B" w:rsidRPr="00FC4688">
              <w:rPr>
                <w:noProof/>
                <w:webHidden/>
              </w:rPr>
              <w:fldChar w:fldCharType="begin"/>
            </w:r>
            <w:r w:rsidR="00742C0B" w:rsidRPr="00FC4688">
              <w:rPr>
                <w:noProof/>
                <w:webHidden/>
              </w:rPr>
              <w:instrText xml:space="preserve"> PAGEREF _Toc117781302 \h </w:instrText>
            </w:r>
            <w:r w:rsidR="00742C0B" w:rsidRPr="00FC4688">
              <w:rPr>
                <w:noProof/>
                <w:webHidden/>
              </w:rPr>
            </w:r>
            <w:r w:rsidR="00742C0B" w:rsidRPr="00FC4688">
              <w:rPr>
                <w:noProof/>
                <w:webHidden/>
              </w:rPr>
              <w:fldChar w:fldCharType="separate"/>
            </w:r>
            <w:r w:rsidR="005D4340">
              <w:rPr>
                <w:noProof/>
                <w:webHidden/>
              </w:rPr>
              <w:t>9</w:t>
            </w:r>
            <w:r w:rsidR="00742C0B" w:rsidRPr="00FC4688">
              <w:rPr>
                <w:noProof/>
                <w:webHidden/>
              </w:rPr>
              <w:fldChar w:fldCharType="end"/>
            </w:r>
          </w:hyperlink>
        </w:p>
        <w:p w14:paraId="5BE2AAB0" w14:textId="6E09034D" w:rsidR="0032588B" w:rsidRPr="00FC4688" w:rsidRDefault="0032588B" w:rsidP="00CD34D6">
          <w:pPr>
            <w:spacing w:line="276" w:lineRule="auto"/>
            <w:rPr>
              <w:rFonts w:cs="Times New Roman"/>
              <w:color w:val="FF0000"/>
            </w:rPr>
          </w:pPr>
          <w:r w:rsidRPr="00FC4688">
            <w:rPr>
              <w:rFonts w:cs="Times New Roman"/>
              <w:bCs/>
              <w:color w:val="FF0000"/>
              <w:lang w:val="es-ES"/>
            </w:rPr>
            <w:fldChar w:fldCharType="end"/>
          </w:r>
        </w:p>
      </w:sdtContent>
    </w:sdt>
    <w:p w14:paraId="21BB0213" w14:textId="77777777" w:rsidR="006B58E6" w:rsidRPr="00FC4688" w:rsidRDefault="006B58E6" w:rsidP="006B58E6">
      <w:pPr>
        <w:tabs>
          <w:tab w:val="left" w:pos="5490"/>
        </w:tabs>
        <w:spacing w:after="200" w:line="276" w:lineRule="auto"/>
        <w:rPr>
          <w:rFonts w:eastAsiaTheme="majorEastAsia" w:cs="Times New Roman"/>
          <w:b/>
          <w:bCs/>
          <w:szCs w:val="26"/>
        </w:rPr>
      </w:pPr>
      <w:bookmarkStart w:id="3" w:name="_Toc33180541"/>
      <w:r w:rsidRPr="00FC4688">
        <w:rPr>
          <w:rFonts w:eastAsiaTheme="majorEastAsia" w:cs="Times New Roman"/>
          <w:b/>
          <w:bCs/>
          <w:szCs w:val="26"/>
        </w:rPr>
        <w:tab/>
      </w:r>
    </w:p>
    <w:p w14:paraId="1E4B481B" w14:textId="77777777" w:rsidR="0041288C" w:rsidRPr="00FC4688" w:rsidRDefault="0041288C" w:rsidP="006B58E6">
      <w:pPr>
        <w:tabs>
          <w:tab w:val="left" w:pos="5490"/>
        </w:tabs>
        <w:spacing w:after="200" w:line="276" w:lineRule="auto"/>
        <w:rPr>
          <w:rFonts w:eastAsiaTheme="majorEastAsia" w:cs="Times New Roman"/>
          <w:b/>
          <w:bCs/>
          <w:szCs w:val="26"/>
        </w:rPr>
      </w:pPr>
      <w:r w:rsidRPr="00FC4688">
        <w:rPr>
          <w:rFonts w:eastAsiaTheme="majorEastAsia" w:cs="Times New Roman"/>
          <w:szCs w:val="26"/>
        </w:rPr>
        <w:br w:type="page"/>
      </w:r>
    </w:p>
    <w:p w14:paraId="4919E5EF" w14:textId="77777777" w:rsidR="0041288C" w:rsidRPr="00FC4688" w:rsidRDefault="0041288C" w:rsidP="00055D08">
      <w:pPr>
        <w:pStyle w:val="Prrafodelista"/>
        <w:ind w:left="0"/>
        <w:outlineLvl w:val="0"/>
        <w:rPr>
          <w:rFonts w:eastAsiaTheme="majorEastAsia" w:cs="Times New Roman"/>
          <w:b/>
          <w:bCs/>
          <w:sz w:val="24"/>
          <w:szCs w:val="26"/>
          <w:lang w:val="es-ES_tradnl" w:eastAsia="es-ES"/>
        </w:rPr>
      </w:pPr>
      <w:bookmarkStart w:id="4" w:name="_Toc117781271"/>
      <w:r w:rsidRPr="00FC4688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lastRenderedPageBreak/>
        <w:t>Introducción</w:t>
      </w:r>
      <w:bookmarkEnd w:id="3"/>
      <w:bookmarkEnd w:id="4"/>
    </w:p>
    <w:p w14:paraId="0196EF86" w14:textId="794BA272" w:rsidR="00974B8B" w:rsidRPr="00FC4688" w:rsidRDefault="0041288C" w:rsidP="00F55D61">
      <w:pPr>
        <w:rPr>
          <w:lang w:val="es-MX"/>
        </w:rPr>
      </w:pPr>
      <w:r w:rsidRPr="00FC4688">
        <w:rPr>
          <w:lang w:val="es-MX"/>
        </w:rPr>
        <w:t xml:space="preserve">A continuación, se presenta </w:t>
      </w:r>
      <w:r w:rsidRPr="00FC4688">
        <w:rPr>
          <w:b/>
          <w:bCs/>
          <w:lang w:val="es-MX"/>
        </w:rPr>
        <w:t>el Informe</w:t>
      </w:r>
      <w:r w:rsidR="00445193" w:rsidRPr="00FC4688">
        <w:rPr>
          <w:b/>
          <w:bCs/>
          <w:lang w:val="es-MX"/>
        </w:rPr>
        <w:t xml:space="preserve"> </w:t>
      </w:r>
      <w:r w:rsidR="00AB1204" w:rsidRPr="00FC4688">
        <w:rPr>
          <w:b/>
          <w:bCs/>
          <w:lang w:val="es-MX"/>
        </w:rPr>
        <w:t xml:space="preserve">del </w:t>
      </w:r>
      <w:r w:rsidR="00271ADE" w:rsidRPr="00FC4688">
        <w:rPr>
          <w:b/>
          <w:bCs/>
          <w:lang w:val="es-MX"/>
        </w:rPr>
        <w:t>Tercer</w:t>
      </w:r>
      <w:r w:rsidR="002E2298" w:rsidRPr="00FC4688">
        <w:rPr>
          <w:b/>
          <w:bCs/>
          <w:lang w:val="es-MX"/>
        </w:rPr>
        <w:t xml:space="preserve"> </w:t>
      </w:r>
      <w:r w:rsidR="00C923AF" w:rsidRPr="00FC4688">
        <w:rPr>
          <w:b/>
          <w:bCs/>
          <w:lang w:val="es-MX"/>
        </w:rPr>
        <w:t>T</w:t>
      </w:r>
      <w:r w:rsidR="002E2298" w:rsidRPr="00FC4688">
        <w:rPr>
          <w:b/>
          <w:bCs/>
          <w:lang w:val="es-MX"/>
        </w:rPr>
        <w:t>rimestre de 202</w:t>
      </w:r>
      <w:r w:rsidR="00F535E9" w:rsidRPr="00FC4688">
        <w:rPr>
          <w:b/>
          <w:bCs/>
          <w:lang w:val="es-MX"/>
        </w:rPr>
        <w:t>2</w:t>
      </w:r>
      <w:r w:rsidR="002E2298" w:rsidRPr="00FC4688">
        <w:rPr>
          <w:lang w:val="es-MX"/>
        </w:rPr>
        <w:t xml:space="preserve">, </w:t>
      </w:r>
      <w:r w:rsidRPr="00FC4688">
        <w:rPr>
          <w:lang w:val="es-MX"/>
        </w:rPr>
        <w:t>sobre l</w:t>
      </w:r>
      <w:r w:rsidR="00D63046" w:rsidRPr="00FC4688">
        <w:rPr>
          <w:lang w:val="es-MX"/>
        </w:rPr>
        <w:t>a ejecución financiera del gobierno central presupuestario sobre la base de las</w:t>
      </w:r>
      <w:r w:rsidRPr="00FC4688">
        <w:rPr>
          <w:lang w:val="es-MX"/>
        </w:rPr>
        <w:t xml:space="preserve"> Estadísticas de las Finanzas Públicas -EFP- el cual contiene los aspectos más relevantes de la evolución de las variables fiscales</w:t>
      </w:r>
      <w:r w:rsidR="00D63046" w:rsidRPr="00FC4688">
        <w:rPr>
          <w:lang w:val="es-MX"/>
        </w:rPr>
        <w:t>, así como las</w:t>
      </w:r>
      <w:r w:rsidR="00AA5C09" w:rsidRPr="00FC4688">
        <w:rPr>
          <w:lang w:val="es-MX"/>
        </w:rPr>
        <w:t xml:space="preserve"> </w:t>
      </w:r>
      <w:r w:rsidRPr="00FC4688">
        <w:rPr>
          <w:lang w:val="es-MX"/>
        </w:rPr>
        <w:t>principales acciones en materia de ingresos, gasto, transacciones en activos y pasivos y las erogaciones por función del Gobierno</w:t>
      </w:r>
      <w:r w:rsidR="004E3572" w:rsidRPr="00FC4688">
        <w:rPr>
          <w:lang w:val="es-MX"/>
        </w:rPr>
        <w:t xml:space="preserve">. </w:t>
      </w:r>
    </w:p>
    <w:p w14:paraId="166F9829" w14:textId="77777777" w:rsidR="00974B8B" w:rsidRPr="00FC4688" w:rsidRDefault="00974B8B" w:rsidP="00F55D61">
      <w:pPr>
        <w:rPr>
          <w:lang w:val="es-MX"/>
        </w:rPr>
      </w:pPr>
    </w:p>
    <w:p w14:paraId="522D2460" w14:textId="77777777" w:rsidR="0041288C" w:rsidRPr="00FC4688" w:rsidRDefault="004E3572" w:rsidP="00F55D61">
      <w:pPr>
        <w:rPr>
          <w:lang w:val="es-MX"/>
        </w:rPr>
      </w:pPr>
      <w:r w:rsidRPr="00FC4688">
        <w:rPr>
          <w:lang w:val="es-MX"/>
        </w:rPr>
        <w:t xml:space="preserve">Cabe mencionar que dicha información utiliza los </w:t>
      </w:r>
      <w:r w:rsidR="005F2296" w:rsidRPr="00FC4688">
        <w:rPr>
          <w:lang w:val="es-MX"/>
        </w:rPr>
        <w:t>estándares internacionales establecidos en el Manual de Estadísticas de las Finanzas Públicas 2014 -MEFP-</w:t>
      </w:r>
      <w:r w:rsidR="00974B8B" w:rsidRPr="00FC4688">
        <w:rPr>
          <w:lang w:val="es-MX"/>
        </w:rPr>
        <w:t xml:space="preserve"> del Fondo Monetario </w:t>
      </w:r>
      <w:r w:rsidR="00F35956" w:rsidRPr="00FC4688">
        <w:rPr>
          <w:lang w:val="es-MX"/>
        </w:rPr>
        <w:t xml:space="preserve">Internacional </w:t>
      </w:r>
      <w:r w:rsidR="0041288C" w:rsidRPr="00FC4688">
        <w:rPr>
          <w:lang w:val="es-MX"/>
        </w:rPr>
        <w:t>-FMI- por lo que existen diferencias en comparación</w:t>
      </w:r>
      <w:r w:rsidR="00774760" w:rsidRPr="00FC4688">
        <w:rPr>
          <w:lang w:val="es-MX"/>
        </w:rPr>
        <w:t xml:space="preserve"> a las cifras que son publicadas </w:t>
      </w:r>
      <w:r w:rsidR="0041288C" w:rsidRPr="00FC4688">
        <w:rPr>
          <w:lang w:val="es-MX"/>
        </w:rPr>
        <w:t>utiliza</w:t>
      </w:r>
      <w:r w:rsidR="00774760" w:rsidRPr="00FC4688">
        <w:rPr>
          <w:lang w:val="es-MX"/>
        </w:rPr>
        <w:t>ndo</w:t>
      </w:r>
      <w:r w:rsidR="0041288C" w:rsidRPr="00FC4688">
        <w:rPr>
          <w:lang w:val="es-MX"/>
        </w:rPr>
        <w:t xml:space="preserve"> la metodología nacional.</w:t>
      </w:r>
      <w:r w:rsidR="00F8714D" w:rsidRPr="00FC4688">
        <w:rPr>
          <w:lang w:val="es-MX"/>
        </w:rPr>
        <w:t xml:space="preserve"> </w:t>
      </w:r>
      <w:r w:rsidR="003D1490" w:rsidRPr="00FC4688">
        <w:rPr>
          <w:lang w:val="es-MX"/>
        </w:rPr>
        <w:t xml:space="preserve">En caso de cualquier </w:t>
      </w:r>
      <w:r w:rsidR="00FA4254" w:rsidRPr="00FC4688">
        <w:rPr>
          <w:lang w:val="es-MX"/>
        </w:rPr>
        <w:t>duda</w:t>
      </w:r>
      <w:r w:rsidR="00E507D9" w:rsidRPr="00FC4688">
        <w:rPr>
          <w:lang w:val="es-MX"/>
        </w:rPr>
        <w:t xml:space="preserve"> sobre estas diferencias</w:t>
      </w:r>
      <w:r w:rsidR="002710C2" w:rsidRPr="00FC4688">
        <w:rPr>
          <w:lang w:val="es-MX"/>
        </w:rPr>
        <w:t xml:space="preserve">, </w:t>
      </w:r>
      <w:r w:rsidR="00723705" w:rsidRPr="00FC4688">
        <w:rPr>
          <w:lang w:val="es-MX"/>
        </w:rPr>
        <w:t xml:space="preserve">se </w:t>
      </w:r>
      <w:r w:rsidR="002710C2" w:rsidRPr="00FC4688">
        <w:rPr>
          <w:lang w:val="es-MX"/>
        </w:rPr>
        <w:t xml:space="preserve">puede consultar los documentos de </w:t>
      </w:r>
      <w:r w:rsidR="00C139AC" w:rsidRPr="00FC4688">
        <w:rPr>
          <w:lang w:val="es-MX"/>
        </w:rPr>
        <w:t>“</w:t>
      </w:r>
      <w:r w:rsidR="002710C2" w:rsidRPr="00FC4688">
        <w:rPr>
          <w:lang w:val="es-MX"/>
        </w:rPr>
        <w:t>Metodología</w:t>
      </w:r>
      <w:r w:rsidR="00C139AC" w:rsidRPr="00FC4688">
        <w:rPr>
          <w:lang w:val="es-MX"/>
        </w:rPr>
        <w:t>”</w:t>
      </w:r>
      <w:r w:rsidR="002710C2" w:rsidRPr="00FC4688">
        <w:rPr>
          <w:lang w:val="es-MX"/>
        </w:rPr>
        <w:t xml:space="preserve"> y de </w:t>
      </w:r>
      <w:r w:rsidR="00C139AC" w:rsidRPr="00FC4688">
        <w:rPr>
          <w:lang w:val="es-MX"/>
        </w:rPr>
        <w:t xml:space="preserve">“Metadatos” </w:t>
      </w:r>
      <w:r w:rsidR="00F42DC5" w:rsidRPr="00FC4688">
        <w:rPr>
          <w:lang w:val="es-MX"/>
        </w:rPr>
        <w:t xml:space="preserve">que se encuentran publicados en </w:t>
      </w:r>
      <w:r w:rsidR="00C923AF" w:rsidRPr="00FC4688">
        <w:rPr>
          <w:lang w:val="es-MX"/>
        </w:rPr>
        <w:t xml:space="preserve">la </w:t>
      </w:r>
      <w:r w:rsidR="00DB2A3F" w:rsidRPr="00FC4688">
        <w:rPr>
          <w:lang w:val="es-MX"/>
        </w:rPr>
        <w:t>página</w:t>
      </w:r>
      <w:r w:rsidR="00F42DC5" w:rsidRPr="00FC4688">
        <w:rPr>
          <w:lang w:val="es-MX"/>
        </w:rPr>
        <w:t xml:space="preserve"> web</w:t>
      </w:r>
      <w:r w:rsidR="00C923AF" w:rsidRPr="00FC4688">
        <w:rPr>
          <w:lang w:val="es-MX"/>
        </w:rPr>
        <w:t xml:space="preserve"> del Ministerio de Finanzas Públicas</w:t>
      </w:r>
      <w:r w:rsidR="00723705" w:rsidRPr="00FC4688">
        <w:rPr>
          <w:lang w:val="es-MX"/>
        </w:rPr>
        <w:t>,</w:t>
      </w:r>
      <w:r w:rsidR="00C923AF" w:rsidRPr="00FC4688">
        <w:rPr>
          <w:lang w:val="es-MX"/>
        </w:rPr>
        <w:t xml:space="preserve"> en la sección de “Estadísticas según Estándares Internacionales”</w:t>
      </w:r>
      <w:r w:rsidR="00F42DC5" w:rsidRPr="00FC4688">
        <w:rPr>
          <w:lang w:val="es-MX"/>
        </w:rPr>
        <w:t>.</w:t>
      </w:r>
    </w:p>
    <w:p w14:paraId="28D96728" w14:textId="77777777" w:rsidR="002B762F" w:rsidRPr="00FC4688" w:rsidRDefault="002B762F" w:rsidP="00F55D61">
      <w:pPr>
        <w:rPr>
          <w:lang w:val="es-MX"/>
        </w:rPr>
      </w:pPr>
    </w:p>
    <w:p w14:paraId="540F5173" w14:textId="5FB11EDC" w:rsidR="00253456" w:rsidRPr="00FC4688" w:rsidRDefault="00253456" w:rsidP="00253456">
      <w:pPr>
        <w:pStyle w:val="Prrafodelista"/>
        <w:ind w:left="0"/>
        <w:outlineLvl w:val="0"/>
        <w:rPr>
          <w:rFonts w:eastAsiaTheme="majorEastAsia" w:cs="Times New Roman"/>
          <w:b/>
          <w:bCs/>
          <w:sz w:val="24"/>
          <w:szCs w:val="26"/>
          <w:lang w:val="es-ES_tradnl" w:eastAsia="es-ES"/>
        </w:rPr>
      </w:pPr>
      <w:bookmarkStart w:id="5" w:name="_Toc98757132"/>
      <w:bookmarkStart w:id="6" w:name="_Toc117781272"/>
      <w:r w:rsidRPr="00FC4688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>Cambios Metodológicos 202</w:t>
      </w:r>
      <w:bookmarkEnd w:id="5"/>
      <w:r w:rsidRPr="00FC4688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>2</w:t>
      </w:r>
      <w:bookmarkEnd w:id="6"/>
    </w:p>
    <w:p w14:paraId="28EFC57D" w14:textId="7CAF7378" w:rsidR="00253456" w:rsidRPr="00FC4688" w:rsidRDefault="00E70034" w:rsidP="00253456">
      <w:pPr>
        <w:rPr>
          <w:lang w:val="es-MX"/>
        </w:rPr>
      </w:pPr>
      <w:r w:rsidRPr="00FC4688">
        <w:rPr>
          <w:lang w:val="es-MX"/>
        </w:rPr>
        <w:t xml:space="preserve">Es oportuno mencionar que el Ministerio de Finanzas Públicas continua </w:t>
      </w:r>
      <w:r w:rsidR="001A06FB" w:rsidRPr="00FC4688">
        <w:rPr>
          <w:lang w:val="es-MX"/>
        </w:rPr>
        <w:t xml:space="preserve">con el proceso </w:t>
      </w:r>
      <w:r w:rsidR="00572EEC" w:rsidRPr="00FC4688">
        <w:rPr>
          <w:lang w:val="es-MX"/>
        </w:rPr>
        <w:t xml:space="preserve">de </w:t>
      </w:r>
      <w:r w:rsidR="00253456" w:rsidRPr="00FC4688">
        <w:rPr>
          <w:lang w:val="es-MX"/>
        </w:rPr>
        <w:t>implementación de los estándares internacionales</w:t>
      </w:r>
      <w:r w:rsidRPr="00FC4688">
        <w:rPr>
          <w:lang w:val="es-MX"/>
        </w:rPr>
        <w:t xml:space="preserve"> para la generación </w:t>
      </w:r>
      <w:r w:rsidR="002410AF" w:rsidRPr="00FC4688">
        <w:rPr>
          <w:lang w:val="es-MX"/>
        </w:rPr>
        <w:t>d</w:t>
      </w:r>
      <w:r w:rsidRPr="00FC4688">
        <w:rPr>
          <w:lang w:val="es-MX"/>
        </w:rPr>
        <w:t xml:space="preserve">e las EFP y </w:t>
      </w:r>
      <w:r w:rsidR="00253456" w:rsidRPr="00FC4688">
        <w:rPr>
          <w:lang w:val="es-MX"/>
        </w:rPr>
        <w:t xml:space="preserve">con el fin de fortalecer </w:t>
      </w:r>
      <w:r w:rsidR="00572EEC" w:rsidRPr="00FC4688">
        <w:rPr>
          <w:lang w:val="es-MX"/>
        </w:rPr>
        <w:t xml:space="preserve">a </w:t>
      </w:r>
      <w:r w:rsidR="00253456" w:rsidRPr="00FC4688">
        <w:rPr>
          <w:lang w:val="es-MX"/>
        </w:rPr>
        <w:t xml:space="preserve">las </w:t>
      </w:r>
      <w:r w:rsidRPr="00FC4688">
        <w:rPr>
          <w:lang w:val="es-MX"/>
        </w:rPr>
        <w:t>mismas</w:t>
      </w:r>
      <w:r w:rsidR="000B5A6C" w:rsidRPr="00FC4688">
        <w:rPr>
          <w:lang w:val="es-MX"/>
        </w:rPr>
        <w:t>,</w:t>
      </w:r>
      <w:r w:rsidR="00253456" w:rsidRPr="00FC4688">
        <w:rPr>
          <w:lang w:val="es-MX"/>
        </w:rPr>
        <w:t xml:space="preserve"> </w:t>
      </w:r>
      <w:r w:rsidR="001A06FB" w:rsidRPr="00FC4688">
        <w:rPr>
          <w:lang w:val="es-MX"/>
        </w:rPr>
        <w:t xml:space="preserve">se cuenta con </w:t>
      </w:r>
      <w:r w:rsidR="00253456" w:rsidRPr="00FC4688">
        <w:rPr>
          <w:lang w:val="es-MX"/>
        </w:rPr>
        <w:t xml:space="preserve">el apoyo y supervisión del Centro Regional de Asistencia Técnica del FMI para Centroamérica, Panamá y la República Dominicana </w:t>
      </w:r>
      <w:r w:rsidR="001A06FB" w:rsidRPr="00FC4688">
        <w:rPr>
          <w:lang w:val="es-MX"/>
        </w:rPr>
        <w:t>-</w:t>
      </w:r>
      <w:r w:rsidR="00253456" w:rsidRPr="00FC4688">
        <w:rPr>
          <w:lang w:val="es-MX"/>
        </w:rPr>
        <w:t>CAPTAC-DR</w:t>
      </w:r>
      <w:r w:rsidR="001A06FB" w:rsidRPr="00FC4688">
        <w:rPr>
          <w:lang w:val="es-MX"/>
        </w:rPr>
        <w:t>-</w:t>
      </w:r>
      <w:r w:rsidR="000B5A6C" w:rsidRPr="00FC4688">
        <w:rPr>
          <w:lang w:val="es-MX"/>
        </w:rPr>
        <w:t xml:space="preserve">. En este sentido, cabe mencionar que </w:t>
      </w:r>
      <w:r w:rsidR="00195129" w:rsidRPr="00FC4688">
        <w:rPr>
          <w:lang w:val="es-MX"/>
        </w:rPr>
        <w:t>en septiembre del presente año se llevaron a cabo actualizaciones metodológicas importantes</w:t>
      </w:r>
      <w:r w:rsidR="00253456" w:rsidRPr="00FC4688">
        <w:rPr>
          <w:lang w:val="es-MX"/>
        </w:rPr>
        <w:t xml:space="preserve">, por lo que el presente documento cuenta con algunas diferencias en las cifras históricas respecto a los informes trimestrales </w:t>
      </w:r>
      <w:r w:rsidR="008F297B" w:rsidRPr="00FC4688">
        <w:rPr>
          <w:lang w:val="es-MX"/>
        </w:rPr>
        <w:t>anteriores</w:t>
      </w:r>
      <w:r w:rsidR="00253456" w:rsidRPr="00FC4688">
        <w:rPr>
          <w:lang w:val="es-MX"/>
        </w:rPr>
        <w:t>.</w:t>
      </w:r>
      <w:r w:rsidR="00195129" w:rsidRPr="00FC4688">
        <w:rPr>
          <w:lang w:val="es-MX"/>
        </w:rPr>
        <w:t xml:space="preserve"> Para </w:t>
      </w:r>
      <w:r w:rsidR="00572EEC" w:rsidRPr="00FC4688">
        <w:rPr>
          <w:lang w:val="es-MX"/>
        </w:rPr>
        <w:t>más información</w:t>
      </w:r>
      <w:r w:rsidR="00195129" w:rsidRPr="00FC4688">
        <w:rPr>
          <w:lang w:val="es-MX"/>
        </w:rPr>
        <w:t xml:space="preserve"> sobre los cambio</w:t>
      </w:r>
      <w:r w:rsidR="004F7DBA" w:rsidRPr="00FC4688">
        <w:rPr>
          <w:lang w:val="es-MX"/>
        </w:rPr>
        <w:t>s realizados, se recomienda revisar el documento de metodología y de metadato que se encuentra</w:t>
      </w:r>
      <w:r w:rsidR="00572EEC" w:rsidRPr="00FC4688">
        <w:rPr>
          <w:lang w:val="es-MX"/>
        </w:rPr>
        <w:t>n</w:t>
      </w:r>
      <w:r w:rsidR="004F7DBA" w:rsidRPr="00FC4688">
        <w:rPr>
          <w:lang w:val="es-MX"/>
        </w:rPr>
        <w:t xml:space="preserve"> disponible</w:t>
      </w:r>
      <w:r w:rsidR="00572EEC" w:rsidRPr="00FC4688">
        <w:rPr>
          <w:lang w:val="es-MX"/>
        </w:rPr>
        <w:t>s</w:t>
      </w:r>
      <w:r w:rsidR="004F7DBA" w:rsidRPr="00FC4688">
        <w:rPr>
          <w:lang w:val="es-MX"/>
        </w:rPr>
        <w:t xml:space="preserve"> en </w:t>
      </w:r>
      <w:r w:rsidR="00B97246" w:rsidRPr="00FC4688">
        <w:rPr>
          <w:lang w:val="es-MX"/>
        </w:rPr>
        <w:t>el apartado</w:t>
      </w:r>
      <w:r w:rsidR="00FF5A1A" w:rsidRPr="00FC4688">
        <w:rPr>
          <w:lang w:val="es-MX"/>
        </w:rPr>
        <w:t xml:space="preserve"> de Estadísticas según Estándares Internacionales</w:t>
      </w:r>
      <w:r w:rsidR="00B97246" w:rsidRPr="00FC4688">
        <w:rPr>
          <w:lang w:val="es-MX"/>
        </w:rPr>
        <w:t xml:space="preserve"> del portal del Ministerio de Finanzas Públicas</w:t>
      </w:r>
      <w:r w:rsidR="008F297B" w:rsidRPr="00FC4688">
        <w:rPr>
          <w:lang w:val="es-MX"/>
        </w:rPr>
        <w:t>.</w:t>
      </w:r>
    </w:p>
    <w:p w14:paraId="6E9635B5" w14:textId="77777777" w:rsidR="00253456" w:rsidRPr="00FC4688" w:rsidRDefault="00253456" w:rsidP="00F55D61">
      <w:pPr>
        <w:rPr>
          <w:lang w:val="es-MX"/>
        </w:rPr>
      </w:pPr>
    </w:p>
    <w:p w14:paraId="37573775" w14:textId="77777777" w:rsidR="00E66A98" w:rsidRPr="00FC4688" w:rsidRDefault="00A52F77" w:rsidP="00E66A98">
      <w:pPr>
        <w:pStyle w:val="Prrafodelista"/>
        <w:numPr>
          <w:ilvl w:val="0"/>
          <w:numId w:val="1"/>
        </w:numPr>
        <w:ind w:left="284" w:hanging="284"/>
        <w:outlineLvl w:val="0"/>
        <w:rPr>
          <w:rFonts w:eastAsiaTheme="majorEastAsia" w:cs="Times New Roman"/>
          <w:b/>
          <w:bCs/>
          <w:sz w:val="24"/>
          <w:szCs w:val="26"/>
          <w:lang w:val="es-ES_tradnl" w:eastAsia="es-ES"/>
        </w:rPr>
      </w:pPr>
      <w:bookmarkStart w:id="7" w:name="_Toc117781273"/>
      <w:bookmarkEnd w:id="1"/>
      <w:bookmarkEnd w:id="2"/>
      <w:r w:rsidRPr="00FC4688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>Ingresos</w:t>
      </w:r>
      <w:r w:rsidR="00E66A98" w:rsidRPr="00FC4688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 xml:space="preserve"> </w:t>
      </w:r>
      <w:r w:rsidR="00301F9F" w:rsidRPr="00FC4688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>del Gobierno Central Presupuestario</w:t>
      </w:r>
      <w:bookmarkEnd w:id="7"/>
    </w:p>
    <w:p w14:paraId="27F759C0" w14:textId="77777777" w:rsidR="00E66A98" w:rsidRPr="00FC4688" w:rsidRDefault="00DB2C33" w:rsidP="002C3755">
      <w:pPr>
        <w:rPr>
          <w:rFonts w:eastAsiaTheme="majorEastAsia"/>
          <w:lang w:val="es-ES_tradnl"/>
        </w:rPr>
      </w:pPr>
      <w:r w:rsidRPr="00FC4688">
        <w:rPr>
          <w:rFonts w:eastAsiaTheme="majorEastAsia"/>
          <w:noProof/>
          <w:lang w:eastAsia="es-GT"/>
        </w:rPr>
        <w:drawing>
          <wp:inline distT="0" distB="0" distL="0" distR="0" wp14:anchorId="2394B235" wp14:editId="45E3F372">
            <wp:extent cx="5836920" cy="876300"/>
            <wp:effectExtent l="76200" t="38100" r="87630" b="133350"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bookmarkStart w:id="8" w:name="_Toc471986924"/>
      <w:bookmarkStart w:id="9" w:name="_Toc471987059"/>
      <w:bookmarkStart w:id="10" w:name="_Toc471987107"/>
      <w:bookmarkStart w:id="11" w:name="_Toc471987129"/>
      <w:bookmarkStart w:id="12" w:name="_Toc472082158"/>
      <w:bookmarkStart w:id="13" w:name="_Toc472082190"/>
      <w:bookmarkStart w:id="14" w:name="_Toc472089905"/>
      <w:bookmarkStart w:id="15" w:name="_Toc472089928"/>
      <w:bookmarkStart w:id="16" w:name="_Toc505346056"/>
      <w:bookmarkStart w:id="17" w:name="_Toc505349869"/>
      <w:bookmarkStart w:id="18" w:name="_Toc534985827"/>
      <w:bookmarkStart w:id="19" w:name="_Toc534988220"/>
      <w:bookmarkStart w:id="20" w:name="_Toc31611540"/>
      <w:bookmarkStart w:id="21" w:name="_Toc31612756"/>
      <w:bookmarkStart w:id="22" w:name="_Toc31612788"/>
      <w:bookmarkStart w:id="23" w:name="_Toc31614814"/>
      <w:bookmarkStart w:id="24" w:name="_Toc31614846"/>
      <w:bookmarkStart w:id="25" w:name="_Toc31618683"/>
      <w:bookmarkStart w:id="26" w:name="_Toc31618716"/>
      <w:bookmarkStart w:id="27" w:name="_Toc31624492"/>
      <w:bookmarkStart w:id="28" w:name="_Toc31625344"/>
      <w:bookmarkStart w:id="29" w:name="_Toc31626799"/>
      <w:bookmarkStart w:id="30" w:name="_Toc31811250"/>
      <w:bookmarkStart w:id="31" w:name="_Toc31811695"/>
      <w:bookmarkStart w:id="32" w:name="_Toc31971858"/>
      <w:bookmarkStart w:id="33" w:name="_Toc32230880"/>
      <w:bookmarkStart w:id="34" w:name="_Toc33109779"/>
      <w:bookmarkStart w:id="35" w:name="_Toc33109822"/>
      <w:bookmarkStart w:id="36" w:name="_Toc33180543"/>
      <w:bookmarkStart w:id="37" w:name="_Toc33180637"/>
      <w:bookmarkStart w:id="38" w:name="_Toc33193534"/>
      <w:bookmarkStart w:id="39" w:name="_Toc33193573"/>
      <w:bookmarkStart w:id="40" w:name="_Toc33196770"/>
      <w:bookmarkStart w:id="41" w:name="_Toc40691746"/>
      <w:bookmarkStart w:id="42" w:name="_Toc40959149"/>
      <w:bookmarkStart w:id="43" w:name="_Toc40975983"/>
      <w:bookmarkStart w:id="44" w:name="_Toc40976052"/>
      <w:bookmarkStart w:id="45" w:name="_Toc40993307"/>
      <w:bookmarkStart w:id="46" w:name="_Toc40993689"/>
      <w:bookmarkStart w:id="47" w:name="_Toc41037565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573AD0D9" w14:textId="6F5D325C" w:rsidR="00E66A98" w:rsidRPr="00FC4688" w:rsidRDefault="00852DED" w:rsidP="00EB6D9F">
      <w:pPr>
        <w:pStyle w:val="Ttulo2"/>
        <w:numPr>
          <w:ilvl w:val="1"/>
          <w:numId w:val="11"/>
        </w:numPr>
        <w:tabs>
          <w:tab w:val="left" w:pos="426"/>
        </w:tabs>
        <w:spacing w:before="0"/>
        <w:ind w:left="284" w:hanging="284"/>
        <w:rPr>
          <w:rFonts w:ascii="Times New Roman" w:hAnsi="Times New Roman" w:cs="Times New Roman"/>
          <w:color w:val="auto"/>
          <w:sz w:val="24"/>
        </w:rPr>
      </w:pPr>
      <w:bookmarkStart w:id="48" w:name="_Toc117781274"/>
      <w:r w:rsidRPr="00FC4688">
        <w:rPr>
          <w:rFonts w:ascii="Times New Roman" w:hAnsi="Times New Roman" w:cs="Times New Roman"/>
          <w:color w:val="auto"/>
          <w:sz w:val="24"/>
        </w:rPr>
        <w:t>El comportamiento de los ingresos es positivo</w:t>
      </w:r>
      <w:bookmarkEnd w:id="48"/>
    </w:p>
    <w:p w14:paraId="4D9D13F4" w14:textId="61EEEB61" w:rsidR="000245CA" w:rsidRPr="00FC4688" w:rsidRDefault="00B42371" w:rsidP="000245CA">
      <w:pPr>
        <w:rPr>
          <w:rFonts w:cs="Times New Roman"/>
          <w:szCs w:val="22"/>
        </w:rPr>
      </w:pPr>
      <w:r w:rsidRPr="00FC4688">
        <w:rPr>
          <w:rFonts w:cs="Times New Roman"/>
          <w:noProof/>
          <w:sz w:val="24"/>
          <w:lang w:eastAsia="es-GT"/>
        </w:rPr>
        <w:drawing>
          <wp:anchor distT="0" distB="0" distL="114300" distR="114300" simplePos="0" relativeHeight="251660292" behindDoc="0" locked="0" layoutInCell="1" allowOverlap="1" wp14:anchorId="0E488811" wp14:editId="45F44B05">
            <wp:simplePos x="0" y="0"/>
            <wp:positionH relativeFrom="column">
              <wp:posOffset>3391535</wp:posOffset>
            </wp:positionH>
            <wp:positionV relativeFrom="paragraph">
              <wp:posOffset>7620</wp:posOffset>
            </wp:positionV>
            <wp:extent cx="2622550" cy="2722245"/>
            <wp:effectExtent l="0" t="0" r="6350" b="1905"/>
            <wp:wrapSquare wrapText="bothSides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E7F" w:rsidRPr="00FC4688">
        <w:rPr>
          <w:rFonts w:cs="Times New Roman"/>
          <w:szCs w:val="22"/>
        </w:rPr>
        <w:t>L</w:t>
      </w:r>
      <w:r w:rsidR="000245CA" w:rsidRPr="00FC4688">
        <w:rPr>
          <w:rFonts w:cs="Times New Roman"/>
          <w:szCs w:val="22"/>
        </w:rPr>
        <w:t xml:space="preserve">as cifras de ingresos totales al tercer trimestre del presente año se situaron en Q70,079.0 millones, que representan crecimiento de 16.3% (Q9,820.9 millones) respecto al mismo período del año anterior, lo cual </w:t>
      </w:r>
      <w:r w:rsidR="00C14D74" w:rsidRPr="00FC4688">
        <w:rPr>
          <w:rFonts w:cs="Times New Roman"/>
          <w:szCs w:val="22"/>
        </w:rPr>
        <w:t xml:space="preserve">continua con </w:t>
      </w:r>
      <w:r w:rsidR="000245CA" w:rsidRPr="00FC4688">
        <w:rPr>
          <w:rFonts w:cs="Times New Roman"/>
          <w:szCs w:val="22"/>
        </w:rPr>
        <w:t>el dinamismo observado desde principio de año.</w:t>
      </w:r>
    </w:p>
    <w:p w14:paraId="1E134C89" w14:textId="77777777" w:rsidR="000245CA" w:rsidRPr="00FC4688" w:rsidRDefault="000245CA" w:rsidP="000245CA">
      <w:pPr>
        <w:rPr>
          <w:rFonts w:cs="Times New Roman"/>
          <w:szCs w:val="22"/>
        </w:rPr>
      </w:pPr>
    </w:p>
    <w:p w14:paraId="33EEFBEF" w14:textId="77777777" w:rsidR="00960F3C" w:rsidRPr="00FC4688" w:rsidRDefault="00960F3C" w:rsidP="00960F3C">
      <w:pPr>
        <w:rPr>
          <w:rFonts w:cs="Times New Roman"/>
          <w:szCs w:val="22"/>
        </w:rPr>
      </w:pPr>
      <w:r w:rsidRPr="00FC4688">
        <w:rPr>
          <w:rFonts w:cs="Times New Roman"/>
          <w:szCs w:val="22"/>
        </w:rPr>
        <w:t>El crecimiento reflejado en los ingresos continúa siendo explicado por el comportamiento de los impuestos, que al finalizar septiembre han alcanzado los Q64,379.4 millones con un crecimiento interanual de 17.2% (Q9,468.8). La categoría otros ingresos ascienden a Q1,750.6 millones con un aumento del 22.7% (Q324.2 millones) mientras que las contribuciones sociales se sitúan en Q3,855.8 millones con un incremento de 1.2% (Q45.9 millones), por su parte, las donaciones alcanzaron Q93.2 millones lo cual representa una caída interanual de 16.2% (Q18.1 millones).</w:t>
      </w:r>
    </w:p>
    <w:p w14:paraId="3C8D73F7" w14:textId="79C508A9" w:rsidR="00D550B4" w:rsidRPr="00FC4688" w:rsidRDefault="00D550B4" w:rsidP="000245CA">
      <w:pPr>
        <w:rPr>
          <w:rFonts w:cs="Times New Roman"/>
          <w:szCs w:val="22"/>
        </w:rPr>
      </w:pPr>
      <w:r w:rsidRPr="00FC4688">
        <w:rPr>
          <w:noProof/>
          <w:lang w:eastAsia="es-GT"/>
        </w:rPr>
        <w:lastRenderedPageBreak/>
        <w:drawing>
          <wp:inline distT="0" distB="0" distL="0" distR="0" wp14:anchorId="0B894B39" wp14:editId="5399D66F">
            <wp:extent cx="5971540" cy="1711234"/>
            <wp:effectExtent l="0" t="0" r="0" b="381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9A69E6E" w14:textId="77777777" w:rsidR="00D550B4" w:rsidRPr="00FC4688" w:rsidRDefault="00D550B4" w:rsidP="00D550B4">
      <w:pPr>
        <w:pStyle w:val="Prrafodelista"/>
        <w:ind w:left="0"/>
        <w:jc w:val="left"/>
      </w:pPr>
      <w:r w:rsidRPr="00FC4688">
        <w:t>*Cifras preliminares</w:t>
      </w:r>
    </w:p>
    <w:p w14:paraId="28189151" w14:textId="77777777" w:rsidR="00D550B4" w:rsidRPr="00FC4688" w:rsidRDefault="00D550B4" w:rsidP="00D550B4">
      <w:pPr>
        <w:pStyle w:val="Prrafodelista"/>
        <w:ind w:left="0"/>
        <w:jc w:val="left"/>
      </w:pPr>
      <w:r w:rsidRPr="00FC4688">
        <w:t xml:space="preserve"> Fuente: MINFIN</w:t>
      </w:r>
    </w:p>
    <w:p w14:paraId="0E08EED4" w14:textId="77777777" w:rsidR="00484C1E" w:rsidRPr="00FC4688" w:rsidRDefault="00484C1E" w:rsidP="00D550B4">
      <w:pPr>
        <w:pStyle w:val="Prrafodelista"/>
        <w:ind w:left="0"/>
        <w:jc w:val="left"/>
      </w:pPr>
    </w:p>
    <w:p w14:paraId="7B785F6C" w14:textId="320C022C" w:rsidR="002E7740" w:rsidRPr="00FC4688" w:rsidRDefault="002E7740" w:rsidP="002E7740">
      <w:pPr>
        <w:pStyle w:val="Ttulo2"/>
        <w:numPr>
          <w:ilvl w:val="1"/>
          <w:numId w:val="11"/>
        </w:numPr>
        <w:tabs>
          <w:tab w:val="left" w:pos="426"/>
        </w:tabs>
        <w:spacing w:before="0"/>
        <w:ind w:left="284" w:hanging="284"/>
        <w:rPr>
          <w:rFonts w:ascii="Times New Roman" w:hAnsi="Times New Roman" w:cs="Times New Roman"/>
          <w:color w:val="auto"/>
          <w:sz w:val="24"/>
        </w:rPr>
      </w:pPr>
      <w:bookmarkStart w:id="49" w:name="_Toc117781275"/>
      <w:r w:rsidRPr="00FC4688">
        <w:rPr>
          <w:rFonts w:ascii="Times New Roman" w:hAnsi="Times New Roman" w:cs="Times New Roman"/>
          <w:color w:val="auto"/>
          <w:sz w:val="24"/>
        </w:rPr>
        <w:t xml:space="preserve">Los impuestos siguen </w:t>
      </w:r>
      <w:r w:rsidR="00A92211" w:rsidRPr="00FC4688">
        <w:rPr>
          <w:rFonts w:ascii="Times New Roman" w:hAnsi="Times New Roman" w:cs="Times New Roman"/>
          <w:color w:val="auto"/>
          <w:sz w:val="24"/>
        </w:rPr>
        <w:t>mostrando un</w:t>
      </w:r>
      <w:r w:rsidRPr="00FC4688">
        <w:rPr>
          <w:rFonts w:ascii="Times New Roman" w:hAnsi="Times New Roman" w:cs="Times New Roman"/>
          <w:color w:val="auto"/>
          <w:sz w:val="24"/>
        </w:rPr>
        <w:t xml:space="preserve"> comportamiento positivo</w:t>
      </w:r>
      <w:bookmarkEnd w:id="49"/>
    </w:p>
    <w:p w14:paraId="74E4D1D2" w14:textId="0991D2C2" w:rsidR="00273108" w:rsidRPr="00FC4688" w:rsidRDefault="00B4629B" w:rsidP="00B304F3">
      <w:pPr>
        <w:pStyle w:val="Prrafodelista"/>
        <w:ind w:left="0"/>
        <w:rPr>
          <w:sz w:val="22"/>
        </w:rPr>
      </w:pPr>
      <w:r w:rsidRPr="00FC4688">
        <w:rPr>
          <w:noProof/>
          <w:sz w:val="22"/>
          <w:lang w:eastAsia="es-GT"/>
        </w:rPr>
        <w:drawing>
          <wp:anchor distT="0" distB="0" distL="114300" distR="114300" simplePos="0" relativeHeight="251665412" behindDoc="0" locked="0" layoutInCell="1" allowOverlap="1" wp14:anchorId="1026A945" wp14:editId="3D8656B8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724150" cy="5008245"/>
            <wp:effectExtent l="0" t="0" r="0" b="1905"/>
            <wp:wrapSquare wrapText="bothSides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F01" w:rsidRPr="00FC4688">
        <w:rPr>
          <w:sz w:val="22"/>
        </w:rPr>
        <w:t xml:space="preserve">Al tercer trimestre </w:t>
      </w:r>
      <w:r w:rsidR="0075653A" w:rsidRPr="00FC4688">
        <w:rPr>
          <w:sz w:val="22"/>
        </w:rPr>
        <w:t>del 2022</w:t>
      </w:r>
      <w:r w:rsidR="00762F01" w:rsidRPr="00FC4688">
        <w:rPr>
          <w:sz w:val="22"/>
        </w:rPr>
        <w:t xml:space="preserve">, los ingresos por impuestos se ascienden a </w:t>
      </w:r>
      <w:r w:rsidR="00CC2D1F" w:rsidRPr="00FC4688">
        <w:rPr>
          <w:sz w:val="22"/>
        </w:rPr>
        <w:t>Q</w:t>
      </w:r>
      <w:r w:rsidR="00762F01" w:rsidRPr="00FC4688">
        <w:rPr>
          <w:sz w:val="22"/>
        </w:rPr>
        <w:t>64,379.4 millones con un incremento interanual de 17.2% (Q9,468.8 millones)</w:t>
      </w:r>
      <w:r w:rsidR="00AB7BC7" w:rsidRPr="00FC4688">
        <w:rPr>
          <w:sz w:val="22"/>
        </w:rPr>
        <w:t>,</w:t>
      </w:r>
      <w:r w:rsidR="00762F01" w:rsidRPr="00FC4688">
        <w:rPr>
          <w:sz w:val="22"/>
        </w:rPr>
        <w:t xml:space="preserve"> de los cuales los más representativos son los impuestos por bienes y servicios que ascienden a Q37,672.1 millones, con </w:t>
      </w:r>
      <w:r w:rsidR="00B26189" w:rsidRPr="00FC4688">
        <w:rPr>
          <w:sz w:val="22"/>
        </w:rPr>
        <w:t>un aumento</w:t>
      </w:r>
      <w:r w:rsidR="00762F01" w:rsidRPr="00FC4688">
        <w:rPr>
          <w:sz w:val="22"/>
        </w:rPr>
        <w:t xml:space="preserve"> de</w:t>
      </w:r>
      <w:r w:rsidR="00B26189" w:rsidRPr="00FC4688">
        <w:rPr>
          <w:sz w:val="22"/>
        </w:rPr>
        <w:t xml:space="preserve"> 16.5%</w:t>
      </w:r>
      <w:r w:rsidR="00762F01" w:rsidRPr="00FC4688">
        <w:rPr>
          <w:sz w:val="22"/>
        </w:rPr>
        <w:t xml:space="preserve"> (</w:t>
      </w:r>
      <w:r w:rsidR="00B26189" w:rsidRPr="00FC4688">
        <w:rPr>
          <w:sz w:val="22"/>
        </w:rPr>
        <w:t>Q5,330.5 millones</w:t>
      </w:r>
      <w:r w:rsidR="00762F01" w:rsidRPr="00FC4688">
        <w:rPr>
          <w:sz w:val="22"/>
        </w:rPr>
        <w:t>)</w:t>
      </w:r>
      <w:r w:rsidR="00E6008C" w:rsidRPr="00FC4688">
        <w:rPr>
          <w:sz w:val="22"/>
        </w:rPr>
        <w:t xml:space="preserve"> respecto al mismo periodo del año </w:t>
      </w:r>
      <w:r w:rsidR="003733A3" w:rsidRPr="00FC4688">
        <w:rPr>
          <w:sz w:val="22"/>
        </w:rPr>
        <w:t>previo</w:t>
      </w:r>
      <w:r w:rsidR="00E6008C" w:rsidRPr="00FC4688">
        <w:rPr>
          <w:sz w:val="22"/>
        </w:rPr>
        <w:t xml:space="preserve"> y cabe </w:t>
      </w:r>
      <w:r w:rsidR="003733A3" w:rsidRPr="00FC4688">
        <w:rPr>
          <w:sz w:val="22"/>
        </w:rPr>
        <w:t>señalar a</w:t>
      </w:r>
      <w:r w:rsidR="00762F01" w:rsidRPr="00FC4688">
        <w:rPr>
          <w:sz w:val="22"/>
        </w:rPr>
        <w:t>l Impuesto al Valor Agregado</w:t>
      </w:r>
      <w:r w:rsidR="003733A3" w:rsidRPr="00FC4688">
        <w:rPr>
          <w:sz w:val="22"/>
        </w:rPr>
        <w:t xml:space="preserve"> como</w:t>
      </w:r>
      <w:r w:rsidR="00762F01" w:rsidRPr="00FC4688">
        <w:rPr>
          <w:sz w:val="22"/>
        </w:rPr>
        <w:t xml:space="preserve"> el más </w:t>
      </w:r>
      <w:r w:rsidR="00837F29" w:rsidRPr="00FC4688">
        <w:rPr>
          <w:sz w:val="22"/>
        </w:rPr>
        <w:t>importante</w:t>
      </w:r>
      <w:r w:rsidR="003733A3" w:rsidRPr="00FC4688">
        <w:rPr>
          <w:sz w:val="22"/>
        </w:rPr>
        <w:t>, con una</w:t>
      </w:r>
      <w:r w:rsidR="00762F01" w:rsidRPr="00FC4688">
        <w:rPr>
          <w:sz w:val="22"/>
        </w:rPr>
        <w:t xml:space="preserve"> recaudación acumulada de Q31,264.0 millones</w:t>
      </w:r>
      <w:r w:rsidRPr="00FC4688">
        <w:rPr>
          <w:sz w:val="22"/>
        </w:rPr>
        <w:t xml:space="preserve"> y</w:t>
      </w:r>
      <w:r w:rsidR="00762F01" w:rsidRPr="00FC4688">
        <w:rPr>
          <w:sz w:val="22"/>
        </w:rPr>
        <w:t xml:space="preserve"> </w:t>
      </w:r>
      <w:r w:rsidRPr="00FC4688">
        <w:rPr>
          <w:sz w:val="22"/>
        </w:rPr>
        <w:t>un</w:t>
      </w:r>
      <w:r w:rsidR="00762F01" w:rsidRPr="00FC4688">
        <w:rPr>
          <w:sz w:val="22"/>
        </w:rPr>
        <w:t xml:space="preserve"> incremento de</w:t>
      </w:r>
      <w:r w:rsidR="00FD6D59" w:rsidRPr="00FC4688">
        <w:rPr>
          <w:sz w:val="22"/>
        </w:rPr>
        <w:t xml:space="preserve"> 19.2% (</w:t>
      </w:r>
      <w:r w:rsidR="00762F01" w:rsidRPr="00FC4688">
        <w:rPr>
          <w:sz w:val="22"/>
        </w:rPr>
        <w:t>Q5,035.0 millones</w:t>
      </w:r>
      <w:r w:rsidR="00FD6D59" w:rsidRPr="00FC4688">
        <w:rPr>
          <w:sz w:val="22"/>
        </w:rPr>
        <w:t>)</w:t>
      </w:r>
      <w:r w:rsidR="00762F01" w:rsidRPr="00FC4688">
        <w:rPr>
          <w:sz w:val="22"/>
        </w:rPr>
        <w:t xml:space="preserve">. </w:t>
      </w:r>
      <w:r w:rsidR="00E87208" w:rsidRPr="00FC4688">
        <w:rPr>
          <w:sz w:val="22"/>
        </w:rPr>
        <w:t xml:space="preserve"> </w:t>
      </w:r>
    </w:p>
    <w:p w14:paraId="09526BA4" w14:textId="77777777" w:rsidR="00343A1D" w:rsidRPr="00FC4688" w:rsidRDefault="00343A1D" w:rsidP="00B304F3">
      <w:pPr>
        <w:pStyle w:val="Prrafodelista"/>
        <w:ind w:left="0"/>
        <w:rPr>
          <w:sz w:val="22"/>
        </w:rPr>
      </w:pPr>
    </w:p>
    <w:p w14:paraId="232B9B2B" w14:textId="42162E1F" w:rsidR="00CF7041" w:rsidRPr="00FC4688" w:rsidRDefault="00CF7041" w:rsidP="00CF7041">
      <w:r w:rsidRPr="00FC4688">
        <w:t>Respecto de los impuestos sobre el ingreso, las utilidades y las ganancias de capital, estos ascienden a Q23,223.5 millones, mostrando un incremento de</w:t>
      </w:r>
      <w:r w:rsidR="001A6FDA" w:rsidRPr="00FC4688">
        <w:t xml:space="preserve"> 18.7%</w:t>
      </w:r>
      <w:r w:rsidRPr="00FC4688">
        <w:t xml:space="preserve"> </w:t>
      </w:r>
      <w:r w:rsidR="001A6FDA" w:rsidRPr="00FC4688">
        <w:t>(</w:t>
      </w:r>
      <w:r w:rsidRPr="00FC4688">
        <w:t xml:space="preserve">Q3,663.2 millones) respecto al mismo periodo de 2021. En esta </w:t>
      </w:r>
      <w:r w:rsidR="001A6FDA" w:rsidRPr="00FC4688">
        <w:t>categoría</w:t>
      </w:r>
      <w:r w:rsidRPr="00FC4688">
        <w:t xml:space="preserve">, los más representativos son los impuestos a sociedades y otras empresas, que presentan crecimiento de </w:t>
      </w:r>
      <w:r w:rsidR="00B53789" w:rsidRPr="00FC4688">
        <w:t xml:space="preserve">19.2% </w:t>
      </w:r>
      <w:r w:rsidRPr="00FC4688">
        <w:t>(</w:t>
      </w:r>
      <w:r w:rsidR="00B53789" w:rsidRPr="00FC4688">
        <w:t>Q3,285.8 millones</w:t>
      </w:r>
      <w:r w:rsidRPr="00FC4688">
        <w:t>)</w:t>
      </w:r>
      <w:r w:rsidR="00B53789" w:rsidRPr="00FC4688">
        <w:t>. E</w:t>
      </w:r>
      <w:r w:rsidRPr="00FC4688">
        <w:t>n tanto los impuestos pagaderos por personas físicas</w:t>
      </w:r>
      <w:r w:rsidR="00B53789" w:rsidRPr="00FC4688">
        <w:t>, estos</w:t>
      </w:r>
      <w:r w:rsidRPr="00FC4688">
        <w:t xml:space="preserve"> crecieron en 15.6%</w:t>
      </w:r>
      <w:r w:rsidR="00AD6F7E" w:rsidRPr="00FC4688">
        <w:t xml:space="preserve"> (Q377.4 millones)</w:t>
      </w:r>
      <w:r w:rsidRPr="00FC4688">
        <w:t>.</w:t>
      </w:r>
    </w:p>
    <w:p w14:paraId="39F819EB" w14:textId="6007B806" w:rsidR="00A15AEB" w:rsidRPr="00FC4688" w:rsidRDefault="00A15AEB" w:rsidP="00F55D61"/>
    <w:p w14:paraId="5F9C933D" w14:textId="01CACF13" w:rsidR="00A6565E" w:rsidRPr="00FC4688" w:rsidRDefault="001E1FE1" w:rsidP="00A6565E">
      <w:r w:rsidRPr="00FC4688">
        <w:t>L</w:t>
      </w:r>
      <w:r w:rsidR="00A6565E" w:rsidRPr="00FC4688">
        <w:t xml:space="preserve">os impuestos sobre el comercio y las transacciones internacionales </w:t>
      </w:r>
      <w:r w:rsidR="00C14B5E" w:rsidRPr="00FC4688">
        <w:t>se sitúan</w:t>
      </w:r>
      <w:r w:rsidR="00A6565E" w:rsidRPr="00FC4688">
        <w:t xml:space="preserve"> </w:t>
      </w:r>
      <w:r w:rsidR="00C14B5E" w:rsidRPr="00FC4688">
        <w:t>en</w:t>
      </w:r>
      <w:r w:rsidR="00A6565E" w:rsidRPr="00FC4688">
        <w:t xml:space="preserve"> Q3,017.6 millones, presentando un crecimiento de</w:t>
      </w:r>
      <w:r w:rsidR="00C14B5E" w:rsidRPr="00FC4688">
        <w:t xml:space="preserve"> 15.4%</w:t>
      </w:r>
      <w:r w:rsidR="00A6565E" w:rsidRPr="00FC4688">
        <w:t xml:space="preserve"> </w:t>
      </w:r>
      <w:r w:rsidR="00C14B5E" w:rsidRPr="00FC4688">
        <w:t>(</w:t>
      </w:r>
      <w:r w:rsidR="00A6565E" w:rsidRPr="00FC4688">
        <w:t>Q402.0 millones). En esta clasificación se encuentran los derechos de aduanas y otros derechos de importación (que contiene los DAI), estos ingresos ascienden a Q2,787.1</w:t>
      </w:r>
      <w:r w:rsidR="00CC2D1F" w:rsidRPr="00FC4688">
        <w:t xml:space="preserve"> millones</w:t>
      </w:r>
      <w:r w:rsidR="00A6565E" w:rsidRPr="00FC4688">
        <w:t xml:space="preserve">, con </w:t>
      </w:r>
      <w:r w:rsidR="005A1AF6" w:rsidRPr="00FC4688">
        <w:t xml:space="preserve">un </w:t>
      </w:r>
      <w:r w:rsidR="00A6565E" w:rsidRPr="00FC4688">
        <w:t>crecimiento de</w:t>
      </w:r>
      <w:r w:rsidR="005A1AF6" w:rsidRPr="00FC4688">
        <w:t xml:space="preserve"> 13.0%</w:t>
      </w:r>
      <w:r w:rsidR="00A6565E" w:rsidRPr="00FC4688">
        <w:t xml:space="preserve"> </w:t>
      </w:r>
      <w:r w:rsidR="005A1AF6" w:rsidRPr="00FC4688">
        <w:t>(</w:t>
      </w:r>
      <w:r w:rsidR="00A6565E" w:rsidRPr="00FC4688">
        <w:t>Q320.0 millones</w:t>
      </w:r>
      <w:r w:rsidR="001C0FBC" w:rsidRPr="00FC4688">
        <w:t>)</w:t>
      </w:r>
      <w:r w:rsidR="00A6565E" w:rsidRPr="00FC4688">
        <w:t xml:space="preserve"> en tanto los otros impuestos sobre el comercio y las transacciones internacionales ascienden a Q230.5 millones, que representa crecimiento de</w:t>
      </w:r>
      <w:r w:rsidR="00523162" w:rsidRPr="00FC4688">
        <w:t xml:space="preserve"> 55.2%</w:t>
      </w:r>
      <w:r w:rsidR="00A6565E" w:rsidRPr="00FC4688">
        <w:t xml:space="preserve"> </w:t>
      </w:r>
      <w:r w:rsidR="00523162" w:rsidRPr="00FC4688">
        <w:t>(</w:t>
      </w:r>
      <w:r w:rsidR="00A6565E" w:rsidRPr="00FC4688">
        <w:t>Q82.0 millones).</w:t>
      </w:r>
    </w:p>
    <w:p w14:paraId="14C9684D" w14:textId="77777777" w:rsidR="00A6565E" w:rsidRPr="00FC4688" w:rsidRDefault="00A6565E" w:rsidP="00A6565E"/>
    <w:p w14:paraId="0DB2FCFC" w14:textId="067AFB6C" w:rsidR="00A6565E" w:rsidRPr="00FC4688" w:rsidRDefault="00A6565E" w:rsidP="00A6565E">
      <w:r w:rsidRPr="00FC4688">
        <w:t>Por su parte, por concepto de otros impuestos</w:t>
      </w:r>
      <w:r w:rsidR="002159F6" w:rsidRPr="00FC4688">
        <w:t>,</w:t>
      </w:r>
      <w:r w:rsidRPr="00FC4688">
        <w:t xml:space="preserve"> la recaudación asciende a Q436.4 millones, lo cual representa un crecimiento de </w:t>
      </w:r>
      <w:r w:rsidR="00AF685C" w:rsidRPr="00FC4688">
        <w:t>16.3% (</w:t>
      </w:r>
      <w:r w:rsidRPr="00FC4688">
        <w:t>Q61.3 millones)</w:t>
      </w:r>
      <w:r w:rsidR="00C65562" w:rsidRPr="00FC4688">
        <w:t>,</w:t>
      </w:r>
      <w:r w:rsidRPr="00FC4688">
        <w:t xml:space="preserve"> en tanto los impuestos sobre la propiedad alcanzaron la cifra de Q29.9 millones, con </w:t>
      </w:r>
      <w:r w:rsidR="00884C9E" w:rsidRPr="00FC4688">
        <w:t>un crecimiento</w:t>
      </w:r>
      <w:r w:rsidRPr="00FC4688">
        <w:t xml:space="preserve"> de 66.8%</w:t>
      </w:r>
      <w:r w:rsidR="00884C9E" w:rsidRPr="00FC4688">
        <w:t xml:space="preserve"> (Q12.0 millones</w:t>
      </w:r>
      <w:r w:rsidRPr="00FC4688">
        <w:t>).</w:t>
      </w:r>
    </w:p>
    <w:p w14:paraId="26A00D11" w14:textId="77777777" w:rsidR="00A6565E" w:rsidRPr="00FC4688" w:rsidRDefault="00A6565E" w:rsidP="00A6565E"/>
    <w:p w14:paraId="482C7750" w14:textId="79238308" w:rsidR="002E057D" w:rsidRPr="00FC4688" w:rsidRDefault="00A6565E" w:rsidP="00A6565E">
      <w:r w:rsidRPr="00FC4688">
        <w:t xml:space="preserve">Es importante mencionar que el crecimiento en la recaudación tributaria se asocia principalmente al </w:t>
      </w:r>
      <w:r w:rsidR="00A05227" w:rsidRPr="00FC4688">
        <w:t xml:space="preserve">comportamiento </w:t>
      </w:r>
      <w:r w:rsidRPr="00FC4688">
        <w:t xml:space="preserve">que ha presentado la actividad económica, ya que los principales impuestos gravan el valor agregado y el ingreso, es decir, las rentas. </w:t>
      </w:r>
    </w:p>
    <w:p w14:paraId="6C306BE8" w14:textId="77777777" w:rsidR="002E057D" w:rsidRPr="00FC4688" w:rsidRDefault="002E057D" w:rsidP="00A6565E"/>
    <w:p w14:paraId="13985738" w14:textId="664A6060" w:rsidR="002E057D" w:rsidRPr="00FC4688" w:rsidRDefault="00CE57D0" w:rsidP="00A6565E">
      <w:r w:rsidRPr="00FC4688">
        <w:t>Adicionalmente</w:t>
      </w:r>
      <w:r w:rsidR="007D7C0A" w:rsidRPr="00FC4688">
        <w:t>,</w:t>
      </w:r>
      <w:r w:rsidRPr="00FC4688">
        <w:t xml:space="preserve"> se puede atribuir al</w:t>
      </w:r>
      <w:r w:rsidR="00A6565E" w:rsidRPr="00FC4688">
        <w:t xml:space="preserve"> impacto de las medidas implementadas que se han dado en el ramo de aduanas, donde continúan realizándose acciones para </w:t>
      </w:r>
      <w:r w:rsidR="000E0EB5" w:rsidRPr="00FC4688">
        <w:t>combatir</w:t>
      </w:r>
      <w:r w:rsidR="00A6565E" w:rsidRPr="00FC4688">
        <w:t xml:space="preserve"> la defraudación y el contrabando</w:t>
      </w:r>
      <w:r w:rsidR="00AB2461" w:rsidRPr="00FC4688">
        <w:t xml:space="preserve"> aduanero</w:t>
      </w:r>
      <w:r w:rsidR="00A6565E" w:rsidRPr="00FC4688">
        <w:t xml:space="preserve">; así como el seguimiento a través de puestos de control interinstitucional, a la simplificación, automatización y transparencia en el ingreso y salida de la carga vía aérea, fortalecimiento de la gestión de riesgo, los operativos interinstitucionales en aduanas aéreas, terrestres, marítimas, puestos fronterizos, depósitos aduaneros y zonas francas, la puesta en marcha del sistema de etiquetas de radiofrecuencia -RFID-, el fortalecimiento del intercambio de información con otros Estados Parte, el fortalecimiento de la valoración aduanera y a las mejoras en el tiempo de atención de solicitudes entre otras. </w:t>
      </w:r>
    </w:p>
    <w:p w14:paraId="56509CE2" w14:textId="77777777" w:rsidR="002E057D" w:rsidRPr="00FC4688" w:rsidRDefault="002E057D" w:rsidP="00A6565E"/>
    <w:p w14:paraId="6521FD85" w14:textId="71BE01E8" w:rsidR="00A6565E" w:rsidRPr="00FC4688" w:rsidRDefault="00A6565E" w:rsidP="00A6565E">
      <w:r w:rsidRPr="00FC4688">
        <w:t xml:space="preserve">Otro factor que se considera </w:t>
      </w:r>
      <w:r w:rsidR="002E057D" w:rsidRPr="00FC4688">
        <w:t xml:space="preserve">importante mencionar </w:t>
      </w:r>
      <w:r w:rsidRPr="00FC4688">
        <w:t>es el precio de los combustibles y otros productos importados, que continúan con tendencia al alza e impactan en el mismo sentido en la recaudación asociada con las importaciones.</w:t>
      </w:r>
    </w:p>
    <w:p w14:paraId="127793A2" w14:textId="77777777" w:rsidR="00572EEC" w:rsidRPr="00FC4688" w:rsidRDefault="00572EEC" w:rsidP="006B682E"/>
    <w:p w14:paraId="7E0B5894" w14:textId="77777777" w:rsidR="00E66A98" w:rsidRPr="00FC4688" w:rsidRDefault="00E66A98" w:rsidP="00E66A98">
      <w:pPr>
        <w:pStyle w:val="Prrafodelista"/>
        <w:numPr>
          <w:ilvl w:val="0"/>
          <w:numId w:val="32"/>
        </w:numPr>
        <w:outlineLvl w:val="2"/>
        <w:rPr>
          <w:rFonts w:cs="Times New Roman"/>
          <w:b/>
          <w:vanish/>
          <w:lang w:val="es-MX"/>
        </w:rPr>
      </w:pPr>
      <w:bookmarkStart w:id="50" w:name="_Toc31612759"/>
      <w:bookmarkStart w:id="51" w:name="_Toc31612791"/>
      <w:bookmarkStart w:id="52" w:name="_Toc31614817"/>
      <w:bookmarkStart w:id="53" w:name="_Toc31614849"/>
      <w:bookmarkStart w:id="54" w:name="_Toc31618686"/>
      <w:bookmarkStart w:id="55" w:name="_Toc31618719"/>
      <w:bookmarkStart w:id="56" w:name="_Toc31624495"/>
      <w:bookmarkStart w:id="57" w:name="_Toc31625347"/>
      <w:bookmarkStart w:id="58" w:name="_Toc31626802"/>
      <w:bookmarkStart w:id="59" w:name="_Toc31811253"/>
      <w:bookmarkStart w:id="60" w:name="_Toc31811698"/>
      <w:bookmarkStart w:id="61" w:name="_Toc31971861"/>
      <w:bookmarkStart w:id="62" w:name="_Toc32230883"/>
      <w:bookmarkStart w:id="63" w:name="_Toc33109782"/>
      <w:bookmarkStart w:id="64" w:name="_Toc33109825"/>
      <w:bookmarkStart w:id="65" w:name="_Toc33180546"/>
      <w:bookmarkStart w:id="66" w:name="_Toc33180640"/>
      <w:bookmarkStart w:id="67" w:name="_Toc33193537"/>
      <w:bookmarkStart w:id="68" w:name="_Toc33193576"/>
      <w:bookmarkStart w:id="69" w:name="_Toc33196773"/>
      <w:bookmarkStart w:id="70" w:name="_Toc40691749"/>
      <w:bookmarkStart w:id="71" w:name="_Toc40959152"/>
      <w:bookmarkStart w:id="72" w:name="_Toc40975986"/>
      <w:bookmarkStart w:id="73" w:name="_Toc40976055"/>
      <w:bookmarkStart w:id="74" w:name="_Toc40993310"/>
      <w:bookmarkStart w:id="75" w:name="_Toc40993692"/>
      <w:bookmarkStart w:id="76" w:name="_Toc41037568"/>
      <w:bookmarkStart w:id="77" w:name="_Toc41254128"/>
      <w:bookmarkStart w:id="78" w:name="_Toc41254160"/>
      <w:bookmarkStart w:id="79" w:name="_Toc41254180"/>
      <w:bookmarkStart w:id="80" w:name="_Toc42023953"/>
      <w:bookmarkStart w:id="81" w:name="_Toc42024006"/>
      <w:bookmarkStart w:id="82" w:name="_Toc42069104"/>
      <w:bookmarkStart w:id="83" w:name="_Toc49422050"/>
      <w:bookmarkStart w:id="84" w:name="_Toc49422076"/>
      <w:bookmarkStart w:id="85" w:name="_Toc49430655"/>
      <w:bookmarkStart w:id="86" w:name="_Toc49430681"/>
      <w:bookmarkStart w:id="87" w:name="_Toc49750458"/>
      <w:bookmarkStart w:id="88" w:name="_Toc49750708"/>
      <w:bookmarkStart w:id="89" w:name="_Toc49750736"/>
      <w:bookmarkStart w:id="90" w:name="_Toc55284822"/>
      <w:bookmarkStart w:id="91" w:name="_Toc55298840"/>
      <w:bookmarkStart w:id="92" w:name="_Toc55373821"/>
      <w:bookmarkStart w:id="93" w:name="_Toc55373994"/>
      <w:bookmarkStart w:id="94" w:name="_Toc55375131"/>
      <w:bookmarkStart w:id="95" w:name="_Toc55396539"/>
      <w:bookmarkStart w:id="96" w:name="_Toc65230535"/>
      <w:bookmarkStart w:id="97" w:name="_Toc65230773"/>
      <w:bookmarkStart w:id="98" w:name="_Toc65232057"/>
      <w:bookmarkStart w:id="99" w:name="_Toc65232302"/>
      <w:bookmarkStart w:id="100" w:name="_Toc66716161"/>
      <w:bookmarkStart w:id="101" w:name="_Toc71097206"/>
      <w:bookmarkStart w:id="102" w:name="_Toc71097237"/>
      <w:bookmarkStart w:id="103" w:name="_Toc71097312"/>
      <w:bookmarkStart w:id="104" w:name="_Toc71108052"/>
      <w:bookmarkStart w:id="105" w:name="_Toc79055246"/>
      <w:bookmarkStart w:id="106" w:name="_Toc79055277"/>
      <w:bookmarkStart w:id="107" w:name="_Toc79060168"/>
      <w:bookmarkStart w:id="108" w:name="_Toc79060455"/>
      <w:bookmarkStart w:id="109" w:name="_Toc81307812"/>
      <w:bookmarkStart w:id="110" w:name="_Toc83376473"/>
      <w:bookmarkStart w:id="111" w:name="_Toc86386712"/>
      <w:bookmarkStart w:id="112" w:name="_Toc86405398"/>
      <w:bookmarkStart w:id="113" w:name="_Toc98162428"/>
      <w:bookmarkStart w:id="114" w:name="_Toc98162460"/>
      <w:bookmarkStart w:id="115" w:name="_Toc98234986"/>
      <w:bookmarkStart w:id="116" w:name="_Toc98235181"/>
      <w:bookmarkStart w:id="117" w:name="_Toc98235266"/>
      <w:bookmarkStart w:id="118" w:name="_Toc98757136"/>
      <w:bookmarkStart w:id="119" w:name="_Toc101874691"/>
      <w:bookmarkStart w:id="120" w:name="_Toc101954147"/>
      <w:bookmarkStart w:id="121" w:name="_Toc101971964"/>
      <w:bookmarkStart w:id="122" w:name="_Toc101974056"/>
      <w:bookmarkStart w:id="123" w:name="_Toc102039741"/>
      <w:bookmarkStart w:id="124" w:name="_Toc102039779"/>
      <w:bookmarkStart w:id="125" w:name="_Toc102039819"/>
      <w:bookmarkStart w:id="126" w:name="_Toc102039850"/>
      <w:bookmarkStart w:id="127" w:name="_Toc102040908"/>
      <w:bookmarkStart w:id="128" w:name="_Toc102477756"/>
      <w:bookmarkStart w:id="129" w:name="_Toc102477787"/>
      <w:bookmarkStart w:id="130" w:name="_Toc109824817"/>
      <w:bookmarkStart w:id="131" w:name="_Toc109828773"/>
      <w:bookmarkStart w:id="132" w:name="_Toc109828836"/>
      <w:bookmarkStart w:id="133" w:name="_Toc109829012"/>
      <w:bookmarkStart w:id="134" w:name="_Toc109829043"/>
      <w:bookmarkStart w:id="135" w:name="_Toc109833887"/>
      <w:bookmarkStart w:id="136" w:name="_Toc110237430"/>
      <w:bookmarkStart w:id="137" w:name="_Toc117775307"/>
      <w:bookmarkStart w:id="138" w:name="_Toc117781276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</w:p>
    <w:p w14:paraId="14523242" w14:textId="77777777" w:rsidR="00E66A98" w:rsidRPr="00FC4688" w:rsidRDefault="00E66A98" w:rsidP="00E66A98">
      <w:pPr>
        <w:pStyle w:val="Prrafodelista"/>
        <w:numPr>
          <w:ilvl w:val="1"/>
          <w:numId w:val="32"/>
        </w:numPr>
        <w:outlineLvl w:val="2"/>
        <w:rPr>
          <w:rFonts w:cs="Times New Roman"/>
          <w:b/>
          <w:vanish/>
          <w:lang w:val="es-MX"/>
        </w:rPr>
      </w:pPr>
      <w:bookmarkStart w:id="139" w:name="_Toc31612760"/>
      <w:bookmarkStart w:id="140" w:name="_Toc31612792"/>
      <w:bookmarkStart w:id="141" w:name="_Toc31614818"/>
      <w:bookmarkStart w:id="142" w:name="_Toc31614850"/>
      <w:bookmarkStart w:id="143" w:name="_Toc31618687"/>
      <w:bookmarkStart w:id="144" w:name="_Toc31618720"/>
      <w:bookmarkStart w:id="145" w:name="_Toc31624496"/>
      <w:bookmarkStart w:id="146" w:name="_Toc31625348"/>
      <w:bookmarkStart w:id="147" w:name="_Toc31626803"/>
      <w:bookmarkStart w:id="148" w:name="_Toc31811254"/>
      <w:bookmarkStart w:id="149" w:name="_Toc31811699"/>
      <w:bookmarkStart w:id="150" w:name="_Toc31971862"/>
      <w:bookmarkStart w:id="151" w:name="_Toc32230884"/>
      <w:bookmarkStart w:id="152" w:name="_Toc33109783"/>
      <w:bookmarkStart w:id="153" w:name="_Toc33109826"/>
      <w:bookmarkStart w:id="154" w:name="_Toc33180547"/>
      <w:bookmarkStart w:id="155" w:name="_Toc33180641"/>
      <w:bookmarkStart w:id="156" w:name="_Toc33193538"/>
      <w:bookmarkStart w:id="157" w:name="_Toc33193577"/>
      <w:bookmarkStart w:id="158" w:name="_Toc33196774"/>
      <w:bookmarkStart w:id="159" w:name="_Toc40691750"/>
      <w:bookmarkStart w:id="160" w:name="_Toc40959153"/>
      <w:bookmarkStart w:id="161" w:name="_Toc40975987"/>
      <w:bookmarkStart w:id="162" w:name="_Toc40976056"/>
      <w:bookmarkStart w:id="163" w:name="_Toc40993311"/>
      <w:bookmarkStart w:id="164" w:name="_Toc40993693"/>
      <w:bookmarkStart w:id="165" w:name="_Toc41037569"/>
      <w:bookmarkStart w:id="166" w:name="_Toc41254129"/>
      <w:bookmarkStart w:id="167" w:name="_Toc41254161"/>
      <w:bookmarkStart w:id="168" w:name="_Toc41254181"/>
      <w:bookmarkStart w:id="169" w:name="_Toc42023954"/>
      <w:bookmarkStart w:id="170" w:name="_Toc42024007"/>
      <w:bookmarkStart w:id="171" w:name="_Toc42069105"/>
      <w:bookmarkStart w:id="172" w:name="_Toc49422051"/>
      <w:bookmarkStart w:id="173" w:name="_Toc49422077"/>
      <w:bookmarkStart w:id="174" w:name="_Toc49430656"/>
      <w:bookmarkStart w:id="175" w:name="_Toc49430682"/>
      <w:bookmarkStart w:id="176" w:name="_Toc49750459"/>
      <w:bookmarkStart w:id="177" w:name="_Toc49750709"/>
      <w:bookmarkStart w:id="178" w:name="_Toc49750737"/>
      <w:bookmarkStart w:id="179" w:name="_Toc55284823"/>
      <w:bookmarkStart w:id="180" w:name="_Toc55298841"/>
      <w:bookmarkStart w:id="181" w:name="_Toc55373822"/>
      <w:bookmarkStart w:id="182" w:name="_Toc55373995"/>
      <w:bookmarkStart w:id="183" w:name="_Toc55375132"/>
      <w:bookmarkStart w:id="184" w:name="_Toc55396540"/>
      <w:bookmarkStart w:id="185" w:name="_Toc65230536"/>
      <w:bookmarkStart w:id="186" w:name="_Toc65230774"/>
      <w:bookmarkStart w:id="187" w:name="_Toc65232058"/>
      <w:bookmarkStart w:id="188" w:name="_Toc65232303"/>
      <w:bookmarkStart w:id="189" w:name="_Toc66716162"/>
      <w:bookmarkStart w:id="190" w:name="_Toc71097207"/>
      <w:bookmarkStart w:id="191" w:name="_Toc71097238"/>
      <w:bookmarkStart w:id="192" w:name="_Toc71097313"/>
      <w:bookmarkStart w:id="193" w:name="_Toc71108053"/>
      <w:bookmarkStart w:id="194" w:name="_Toc79055247"/>
      <w:bookmarkStart w:id="195" w:name="_Toc79055278"/>
      <w:bookmarkStart w:id="196" w:name="_Toc79060169"/>
      <w:bookmarkStart w:id="197" w:name="_Toc79060456"/>
      <w:bookmarkStart w:id="198" w:name="_Toc81307813"/>
      <w:bookmarkStart w:id="199" w:name="_Toc83376474"/>
      <w:bookmarkStart w:id="200" w:name="_Toc86386713"/>
      <w:bookmarkStart w:id="201" w:name="_Toc86405399"/>
      <w:bookmarkStart w:id="202" w:name="_Toc98162429"/>
      <w:bookmarkStart w:id="203" w:name="_Toc98162461"/>
      <w:bookmarkStart w:id="204" w:name="_Toc98234987"/>
      <w:bookmarkStart w:id="205" w:name="_Toc98235182"/>
      <w:bookmarkStart w:id="206" w:name="_Toc98235267"/>
      <w:bookmarkStart w:id="207" w:name="_Toc98757137"/>
      <w:bookmarkStart w:id="208" w:name="_Toc101874692"/>
      <w:bookmarkStart w:id="209" w:name="_Toc101954148"/>
      <w:bookmarkStart w:id="210" w:name="_Toc101971965"/>
      <w:bookmarkStart w:id="211" w:name="_Toc101974057"/>
      <w:bookmarkStart w:id="212" w:name="_Toc102039742"/>
      <w:bookmarkStart w:id="213" w:name="_Toc102039780"/>
      <w:bookmarkStart w:id="214" w:name="_Toc102039820"/>
      <w:bookmarkStart w:id="215" w:name="_Toc102039851"/>
      <w:bookmarkStart w:id="216" w:name="_Toc102040909"/>
      <w:bookmarkStart w:id="217" w:name="_Toc102477757"/>
      <w:bookmarkStart w:id="218" w:name="_Toc102477788"/>
      <w:bookmarkStart w:id="219" w:name="_Toc109824818"/>
      <w:bookmarkStart w:id="220" w:name="_Toc109828774"/>
      <w:bookmarkStart w:id="221" w:name="_Toc109828837"/>
      <w:bookmarkStart w:id="222" w:name="_Toc109829013"/>
      <w:bookmarkStart w:id="223" w:name="_Toc109829044"/>
      <w:bookmarkStart w:id="224" w:name="_Toc109833888"/>
      <w:bookmarkStart w:id="225" w:name="_Toc110237431"/>
      <w:bookmarkStart w:id="226" w:name="_Toc117775308"/>
      <w:bookmarkStart w:id="227" w:name="_Toc117781277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</w:p>
    <w:p w14:paraId="305ED7A2" w14:textId="77777777" w:rsidR="00E66A98" w:rsidRPr="00FC4688" w:rsidRDefault="00E66A98" w:rsidP="00E66A98">
      <w:pPr>
        <w:pStyle w:val="Prrafodelista"/>
        <w:numPr>
          <w:ilvl w:val="1"/>
          <w:numId w:val="32"/>
        </w:numPr>
        <w:outlineLvl w:val="2"/>
        <w:rPr>
          <w:rFonts w:cs="Times New Roman"/>
          <w:b/>
          <w:vanish/>
          <w:lang w:val="es-MX"/>
        </w:rPr>
      </w:pPr>
      <w:bookmarkStart w:id="228" w:name="_Toc31612761"/>
      <w:bookmarkStart w:id="229" w:name="_Toc31612793"/>
      <w:bookmarkStart w:id="230" w:name="_Toc31614819"/>
      <w:bookmarkStart w:id="231" w:name="_Toc31614851"/>
      <w:bookmarkStart w:id="232" w:name="_Toc31618688"/>
      <w:bookmarkStart w:id="233" w:name="_Toc31618721"/>
      <w:bookmarkStart w:id="234" w:name="_Toc31624497"/>
      <w:bookmarkStart w:id="235" w:name="_Toc31625349"/>
      <w:bookmarkStart w:id="236" w:name="_Toc31626804"/>
      <w:bookmarkStart w:id="237" w:name="_Toc31811255"/>
      <w:bookmarkStart w:id="238" w:name="_Toc31811700"/>
      <w:bookmarkStart w:id="239" w:name="_Toc31971863"/>
      <w:bookmarkStart w:id="240" w:name="_Toc32230885"/>
      <w:bookmarkStart w:id="241" w:name="_Toc33109784"/>
      <w:bookmarkStart w:id="242" w:name="_Toc33109827"/>
      <w:bookmarkStart w:id="243" w:name="_Toc33180548"/>
      <w:bookmarkStart w:id="244" w:name="_Toc33180642"/>
      <w:bookmarkStart w:id="245" w:name="_Toc33193539"/>
      <w:bookmarkStart w:id="246" w:name="_Toc33193578"/>
      <w:bookmarkStart w:id="247" w:name="_Toc33196775"/>
      <w:bookmarkStart w:id="248" w:name="_Toc40691751"/>
      <w:bookmarkStart w:id="249" w:name="_Toc40959154"/>
      <w:bookmarkStart w:id="250" w:name="_Toc40975988"/>
      <w:bookmarkStart w:id="251" w:name="_Toc40976057"/>
      <w:bookmarkStart w:id="252" w:name="_Toc40993312"/>
      <w:bookmarkStart w:id="253" w:name="_Toc40993694"/>
      <w:bookmarkStart w:id="254" w:name="_Toc41037570"/>
      <w:bookmarkStart w:id="255" w:name="_Toc41254130"/>
      <w:bookmarkStart w:id="256" w:name="_Toc41254162"/>
      <w:bookmarkStart w:id="257" w:name="_Toc41254182"/>
      <w:bookmarkStart w:id="258" w:name="_Toc42023955"/>
      <w:bookmarkStart w:id="259" w:name="_Toc42024008"/>
      <w:bookmarkStart w:id="260" w:name="_Toc42069106"/>
      <w:bookmarkStart w:id="261" w:name="_Toc49422052"/>
      <w:bookmarkStart w:id="262" w:name="_Toc49422078"/>
      <w:bookmarkStart w:id="263" w:name="_Toc49430657"/>
      <w:bookmarkStart w:id="264" w:name="_Toc49430683"/>
      <w:bookmarkStart w:id="265" w:name="_Toc49750460"/>
      <w:bookmarkStart w:id="266" w:name="_Toc49750710"/>
      <w:bookmarkStart w:id="267" w:name="_Toc49750738"/>
      <w:bookmarkStart w:id="268" w:name="_Toc55284824"/>
      <w:bookmarkStart w:id="269" w:name="_Toc55298842"/>
      <w:bookmarkStart w:id="270" w:name="_Toc55373823"/>
      <w:bookmarkStart w:id="271" w:name="_Toc55373996"/>
      <w:bookmarkStart w:id="272" w:name="_Toc55375133"/>
      <w:bookmarkStart w:id="273" w:name="_Toc55396541"/>
      <w:bookmarkStart w:id="274" w:name="_Toc65230537"/>
      <w:bookmarkStart w:id="275" w:name="_Toc65230775"/>
      <w:bookmarkStart w:id="276" w:name="_Toc65232059"/>
      <w:bookmarkStart w:id="277" w:name="_Toc65232304"/>
      <w:bookmarkStart w:id="278" w:name="_Toc66716163"/>
      <w:bookmarkStart w:id="279" w:name="_Toc71097208"/>
      <w:bookmarkStart w:id="280" w:name="_Toc71097239"/>
      <w:bookmarkStart w:id="281" w:name="_Toc71097314"/>
      <w:bookmarkStart w:id="282" w:name="_Toc71108054"/>
      <w:bookmarkStart w:id="283" w:name="_Toc79055248"/>
      <w:bookmarkStart w:id="284" w:name="_Toc79055279"/>
      <w:bookmarkStart w:id="285" w:name="_Toc79060170"/>
      <w:bookmarkStart w:id="286" w:name="_Toc79060457"/>
      <w:bookmarkStart w:id="287" w:name="_Toc81307814"/>
      <w:bookmarkStart w:id="288" w:name="_Toc83376475"/>
      <w:bookmarkStart w:id="289" w:name="_Toc86386714"/>
      <w:bookmarkStart w:id="290" w:name="_Toc86405400"/>
      <w:bookmarkStart w:id="291" w:name="_Toc98162430"/>
      <w:bookmarkStart w:id="292" w:name="_Toc98162462"/>
      <w:bookmarkStart w:id="293" w:name="_Toc98234988"/>
      <w:bookmarkStart w:id="294" w:name="_Toc98235183"/>
      <w:bookmarkStart w:id="295" w:name="_Toc98235268"/>
      <w:bookmarkStart w:id="296" w:name="_Toc98757138"/>
      <w:bookmarkStart w:id="297" w:name="_Toc101874693"/>
      <w:bookmarkStart w:id="298" w:name="_Toc101954149"/>
      <w:bookmarkStart w:id="299" w:name="_Toc101971966"/>
      <w:bookmarkStart w:id="300" w:name="_Toc101974058"/>
      <w:bookmarkStart w:id="301" w:name="_Toc102039743"/>
      <w:bookmarkStart w:id="302" w:name="_Toc102039781"/>
      <w:bookmarkStart w:id="303" w:name="_Toc102039821"/>
      <w:bookmarkStart w:id="304" w:name="_Toc102039852"/>
      <w:bookmarkStart w:id="305" w:name="_Toc102040910"/>
      <w:bookmarkStart w:id="306" w:name="_Toc102477758"/>
      <w:bookmarkStart w:id="307" w:name="_Toc102477789"/>
      <w:bookmarkStart w:id="308" w:name="_Toc109824819"/>
      <w:bookmarkStart w:id="309" w:name="_Toc109828775"/>
      <w:bookmarkStart w:id="310" w:name="_Toc109828838"/>
      <w:bookmarkStart w:id="311" w:name="_Toc109829014"/>
      <w:bookmarkStart w:id="312" w:name="_Toc109829045"/>
      <w:bookmarkStart w:id="313" w:name="_Toc109833889"/>
      <w:bookmarkStart w:id="314" w:name="_Toc110237432"/>
      <w:bookmarkStart w:id="315" w:name="_Toc117775309"/>
      <w:bookmarkStart w:id="316" w:name="_Toc117781278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</w:p>
    <w:p w14:paraId="41832A88" w14:textId="77777777" w:rsidR="008C0B31" w:rsidRPr="00FC4688" w:rsidRDefault="008C0B31" w:rsidP="00BC50A6">
      <w:pPr>
        <w:pStyle w:val="Prrafodelista"/>
        <w:numPr>
          <w:ilvl w:val="0"/>
          <w:numId w:val="1"/>
        </w:numPr>
        <w:ind w:left="426" w:hanging="426"/>
        <w:outlineLvl w:val="0"/>
        <w:rPr>
          <w:rFonts w:eastAsiaTheme="majorEastAsia" w:cs="Times New Roman"/>
          <w:b/>
          <w:bCs/>
          <w:sz w:val="24"/>
          <w:szCs w:val="26"/>
          <w:lang w:val="es-ES_tradnl" w:eastAsia="es-ES"/>
        </w:rPr>
      </w:pPr>
      <w:bookmarkStart w:id="317" w:name="_Toc117781279"/>
      <w:r w:rsidRPr="00FC4688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>Gasto Público</w:t>
      </w:r>
      <w:r w:rsidR="00CE4BA6" w:rsidRPr="00FC4688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 xml:space="preserve"> del Gobierno Central Presupuestario</w:t>
      </w:r>
      <w:bookmarkEnd w:id="317"/>
    </w:p>
    <w:p w14:paraId="60038496" w14:textId="77777777" w:rsidR="0039614C" w:rsidRPr="00FC4688" w:rsidRDefault="0039614C" w:rsidP="00B57C32">
      <w:pPr>
        <w:rPr>
          <w:rFonts w:eastAsiaTheme="majorEastAsia" w:cs="Times New Roman"/>
          <w:b/>
          <w:bCs/>
          <w:sz w:val="24"/>
          <w:szCs w:val="26"/>
          <w:lang w:val="es-ES_tradnl"/>
        </w:rPr>
      </w:pPr>
      <w:r w:rsidRPr="00FC4688">
        <w:rPr>
          <w:rFonts w:eastAsiaTheme="majorEastAsia"/>
          <w:noProof/>
          <w:lang w:eastAsia="es-GT"/>
        </w:rPr>
        <w:drawing>
          <wp:inline distT="0" distB="0" distL="0" distR="0" wp14:anchorId="75D3D81E" wp14:editId="5B100866">
            <wp:extent cx="5836920" cy="948520"/>
            <wp:effectExtent l="76200" t="57150" r="87630" b="42545"/>
            <wp:docPr id="12" name="Diagrama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02025EE4" w14:textId="77777777" w:rsidR="00770433" w:rsidRPr="00FC4688" w:rsidRDefault="00770433" w:rsidP="00770433">
      <w:pPr>
        <w:pStyle w:val="Prrafodelista"/>
        <w:keepNext/>
        <w:keepLines/>
        <w:numPr>
          <w:ilvl w:val="0"/>
          <w:numId w:val="12"/>
        </w:numPr>
        <w:spacing w:before="20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val="es-ES_tradnl" w:eastAsia="es-ES"/>
        </w:rPr>
      </w:pPr>
      <w:bookmarkStart w:id="318" w:name="_Toc471986932"/>
      <w:bookmarkStart w:id="319" w:name="_Toc471987067"/>
      <w:bookmarkStart w:id="320" w:name="_Toc471987115"/>
      <w:bookmarkStart w:id="321" w:name="_Toc471987137"/>
      <w:bookmarkStart w:id="322" w:name="_Toc472082165"/>
      <w:bookmarkStart w:id="323" w:name="_Toc472082197"/>
      <w:bookmarkStart w:id="324" w:name="_Toc472089913"/>
      <w:bookmarkStart w:id="325" w:name="_Toc472089936"/>
      <w:bookmarkStart w:id="326" w:name="_Toc505346063"/>
      <w:bookmarkStart w:id="327" w:name="_Toc505349878"/>
      <w:bookmarkStart w:id="328" w:name="_Toc534985836"/>
      <w:bookmarkStart w:id="329" w:name="_Toc534988229"/>
      <w:bookmarkStart w:id="330" w:name="_Toc31611549"/>
      <w:bookmarkStart w:id="331" w:name="_Toc31612768"/>
      <w:bookmarkStart w:id="332" w:name="_Toc31612800"/>
      <w:bookmarkStart w:id="333" w:name="_Toc31614826"/>
      <w:bookmarkStart w:id="334" w:name="_Toc31614858"/>
      <w:bookmarkStart w:id="335" w:name="_Toc31618695"/>
      <w:bookmarkStart w:id="336" w:name="_Toc31618728"/>
      <w:bookmarkStart w:id="337" w:name="_Toc31624504"/>
      <w:bookmarkStart w:id="338" w:name="_Toc31625356"/>
      <w:bookmarkStart w:id="339" w:name="_Toc31626811"/>
      <w:bookmarkStart w:id="340" w:name="_Toc31811262"/>
      <w:bookmarkStart w:id="341" w:name="_Toc31811707"/>
      <w:bookmarkStart w:id="342" w:name="_Toc31971870"/>
      <w:bookmarkStart w:id="343" w:name="_Toc32230892"/>
      <w:bookmarkStart w:id="344" w:name="_Toc33109788"/>
      <w:bookmarkStart w:id="345" w:name="_Toc33109831"/>
      <w:bookmarkStart w:id="346" w:name="_Toc33180552"/>
      <w:bookmarkStart w:id="347" w:name="_Toc33180646"/>
      <w:bookmarkStart w:id="348" w:name="_Toc33193543"/>
      <w:bookmarkStart w:id="349" w:name="_Toc33193582"/>
      <w:bookmarkStart w:id="350" w:name="_Toc33196779"/>
      <w:bookmarkStart w:id="351" w:name="_Toc40691755"/>
      <w:bookmarkStart w:id="352" w:name="_Toc40959156"/>
      <w:bookmarkStart w:id="353" w:name="_Toc40975990"/>
      <w:bookmarkStart w:id="354" w:name="_Toc40976059"/>
      <w:bookmarkStart w:id="355" w:name="_Toc40993314"/>
      <w:bookmarkStart w:id="356" w:name="_Toc40993696"/>
      <w:bookmarkStart w:id="357" w:name="_Toc41037572"/>
      <w:bookmarkStart w:id="358" w:name="_Toc41254132"/>
      <w:bookmarkStart w:id="359" w:name="_Toc41254164"/>
      <w:bookmarkStart w:id="360" w:name="_Toc41254184"/>
      <w:bookmarkStart w:id="361" w:name="_Toc42023958"/>
      <w:bookmarkStart w:id="362" w:name="_Toc42024010"/>
      <w:bookmarkStart w:id="363" w:name="_Toc42069108"/>
      <w:bookmarkStart w:id="364" w:name="_Toc49422054"/>
      <w:bookmarkStart w:id="365" w:name="_Toc49422080"/>
      <w:bookmarkStart w:id="366" w:name="_Toc49430659"/>
      <w:bookmarkStart w:id="367" w:name="_Toc49430685"/>
      <w:bookmarkStart w:id="368" w:name="_Toc49750462"/>
      <w:bookmarkStart w:id="369" w:name="_Toc49750712"/>
      <w:bookmarkStart w:id="370" w:name="_Toc49750740"/>
      <w:bookmarkStart w:id="371" w:name="_Toc55284826"/>
      <w:bookmarkStart w:id="372" w:name="_Toc55298844"/>
      <w:bookmarkStart w:id="373" w:name="_Toc55373825"/>
      <w:bookmarkStart w:id="374" w:name="_Toc55373998"/>
      <w:bookmarkStart w:id="375" w:name="_Toc55375135"/>
      <w:bookmarkStart w:id="376" w:name="_Toc55396543"/>
      <w:bookmarkStart w:id="377" w:name="_Toc65230539"/>
      <w:bookmarkStart w:id="378" w:name="_Toc65230777"/>
      <w:bookmarkStart w:id="379" w:name="_Toc65232061"/>
      <w:bookmarkStart w:id="380" w:name="_Toc65232306"/>
      <w:bookmarkStart w:id="381" w:name="_Toc66716165"/>
      <w:bookmarkStart w:id="382" w:name="_Toc71097210"/>
      <w:bookmarkStart w:id="383" w:name="_Toc71097241"/>
      <w:bookmarkStart w:id="384" w:name="_Toc71097316"/>
      <w:bookmarkStart w:id="385" w:name="_Toc71108056"/>
      <w:bookmarkStart w:id="386" w:name="_Toc79055250"/>
      <w:bookmarkStart w:id="387" w:name="_Toc79055281"/>
      <w:bookmarkStart w:id="388" w:name="_Toc79060172"/>
      <w:bookmarkStart w:id="389" w:name="_Toc79060459"/>
      <w:bookmarkStart w:id="390" w:name="_Toc81307816"/>
      <w:bookmarkStart w:id="391" w:name="_Toc83376477"/>
      <w:bookmarkStart w:id="392" w:name="_Toc86386716"/>
      <w:bookmarkStart w:id="393" w:name="_Toc86405402"/>
      <w:bookmarkStart w:id="394" w:name="_Toc98162432"/>
      <w:bookmarkStart w:id="395" w:name="_Toc98162464"/>
      <w:bookmarkStart w:id="396" w:name="_Toc98234990"/>
      <w:bookmarkStart w:id="397" w:name="_Toc98235185"/>
      <w:bookmarkStart w:id="398" w:name="_Toc98235270"/>
      <w:bookmarkStart w:id="399" w:name="_Toc98757140"/>
      <w:bookmarkStart w:id="400" w:name="_Toc101874695"/>
      <w:bookmarkStart w:id="401" w:name="_Toc101954151"/>
      <w:bookmarkStart w:id="402" w:name="_Toc101971968"/>
      <w:bookmarkStart w:id="403" w:name="_Toc101974060"/>
      <w:bookmarkStart w:id="404" w:name="_Toc102039745"/>
      <w:bookmarkStart w:id="405" w:name="_Toc102039783"/>
      <w:bookmarkStart w:id="406" w:name="_Toc102039823"/>
      <w:bookmarkStart w:id="407" w:name="_Toc102039854"/>
      <w:bookmarkStart w:id="408" w:name="_Toc102040912"/>
      <w:bookmarkStart w:id="409" w:name="_Toc102477760"/>
      <w:bookmarkStart w:id="410" w:name="_Toc102477791"/>
      <w:bookmarkStart w:id="411" w:name="_Toc109824821"/>
      <w:bookmarkStart w:id="412" w:name="_Toc109828777"/>
      <w:bookmarkStart w:id="413" w:name="_Toc109828840"/>
      <w:bookmarkStart w:id="414" w:name="_Toc109829016"/>
      <w:bookmarkStart w:id="415" w:name="_Toc109829047"/>
      <w:bookmarkStart w:id="416" w:name="_Toc109833891"/>
      <w:bookmarkStart w:id="417" w:name="_Toc110237434"/>
      <w:bookmarkStart w:id="418" w:name="_Toc117775311"/>
      <w:bookmarkStart w:id="419" w:name="_Toc117781280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</w:p>
    <w:p w14:paraId="2FFEEFA0" w14:textId="77777777" w:rsidR="00770433" w:rsidRPr="00FC4688" w:rsidRDefault="00770433" w:rsidP="00770433">
      <w:pPr>
        <w:pStyle w:val="Prrafodelista"/>
        <w:keepNext/>
        <w:keepLines/>
        <w:numPr>
          <w:ilvl w:val="0"/>
          <w:numId w:val="12"/>
        </w:numPr>
        <w:spacing w:before="20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val="es-ES_tradnl" w:eastAsia="es-ES"/>
        </w:rPr>
      </w:pPr>
      <w:bookmarkStart w:id="420" w:name="_Toc472082166"/>
      <w:bookmarkStart w:id="421" w:name="_Toc472082198"/>
      <w:bookmarkStart w:id="422" w:name="_Toc472089914"/>
      <w:bookmarkStart w:id="423" w:name="_Toc472089937"/>
      <w:bookmarkStart w:id="424" w:name="_Toc505346064"/>
      <w:bookmarkStart w:id="425" w:name="_Toc505349879"/>
      <w:bookmarkStart w:id="426" w:name="_Toc534985837"/>
      <w:bookmarkStart w:id="427" w:name="_Toc534988230"/>
      <w:bookmarkStart w:id="428" w:name="_Toc31611550"/>
      <w:bookmarkStart w:id="429" w:name="_Toc31612769"/>
      <w:bookmarkStart w:id="430" w:name="_Toc31612801"/>
      <w:bookmarkStart w:id="431" w:name="_Toc31614827"/>
      <w:bookmarkStart w:id="432" w:name="_Toc31614859"/>
      <w:bookmarkStart w:id="433" w:name="_Toc31618696"/>
      <w:bookmarkStart w:id="434" w:name="_Toc31618729"/>
      <w:bookmarkStart w:id="435" w:name="_Toc31624505"/>
      <w:bookmarkStart w:id="436" w:name="_Toc31625357"/>
      <w:bookmarkStart w:id="437" w:name="_Toc31626812"/>
      <w:bookmarkStart w:id="438" w:name="_Toc31811263"/>
      <w:bookmarkStart w:id="439" w:name="_Toc31811708"/>
      <w:bookmarkStart w:id="440" w:name="_Toc31971871"/>
      <w:bookmarkStart w:id="441" w:name="_Toc32230893"/>
      <w:bookmarkStart w:id="442" w:name="_Toc33109789"/>
      <w:bookmarkStart w:id="443" w:name="_Toc33109832"/>
      <w:bookmarkStart w:id="444" w:name="_Toc33180553"/>
      <w:bookmarkStart w:id="445" w:name="_Toc33180647"/>
      <w:bookmarkStart w:id="446" w:name="_Toc33193544"/>
      <w:bookmarkStart w:id="447" w:name="_Toc33193583"/>
      <w:bookmarkStart w:id="448" w:name="_Toc33196780"/>
      <w:bookmarkStart w:id="449" w:name="_Toc40691756"/>
      <w:bookmarkStart w:id="450" w:name="_Toc40959157"/>
      <w:bookmarkStart w:id="451" w:name="_Toc40975991"/>
      <w:bookmarkStart w:id="452" w:name="_Toc40976060"/>
      <w:bookmarkStart w:id="453" w:name="_Toc40993315"/>
      <w:bookmarkStart w:id="454" w:name="_Toc40993697"/>
      <w:bookmarkStart w:id="455" w:name="_Toc41037573"/>
      <w:bookmarkStart w:id="456" w:name="_Toc41254133"/>
      <w:bookmarkStart w:id="457" w:name="_Toc41254165"/>
      <w:bookmarkStart w:id="458" w:name="_Toc41254185"/>
      <w:bookmarkStart w:id="459" w:name="_Toc42023959"/>
      <w:bookmarkStart w:id="460" w:name="_Toc42024011"/>
      <w:bookmarkStart w:id="461" w:name="_Toc42069109"/>
      <w:bookmarkStart w:id="462" w:name="_Toc49422055"/>
      <w:bookmarkStart w:id="463" w:name="_Toc49422081"/>
      <w:bookmarkStart w:id="464" w:name="_Toc49430660"/>
      <w:bookmarkStart w:id="465" w:name="_Toc49430686"/>
      <w:bookmarkStart w:id="466" w:name="_Toc49750463"/>
      <w:bookmarkStart w:id="467" w:name="_Toc49750713"/>
      <w:bookmarkStart w:id="468" w:name="_Toc49750741"/>
      <w:bookmarkStart w:id="469" w:name="_Toc55284827"/>
      <w:bookmarkStart w:id="470" w:name="_Toc55298845"/>
      <w:bookmarkStart w:id="471" w:name="_Toc55373826"/>
      <w:bookmarkStart w:id="472" w:name="_Toc55373999"/>
      <w:bookmarkStart w:id="473" w:name="_Toc55375136"/>
      <w:bookmarkStart w:id="474" w:name="_Toc55396544"/>
      <w:bookmarkStart w:id="475" w:name="_Toc65230540"/>
      <w:bookmarkStart w:id="476" w:name="_Toc65230778"/>
      <w:bookmarkStart w:id="477" w:name="_Toc65232062"/>
      <w:bookmarkStart w:id="478" w:name="_Toc65232307"/>
      <w:bookmarkStart w:id="479" w:name="_Toc66716166"/>
      <w:bookmarkStart w:id="480" w:name="_Toc71097211"/>
      <w:bookmarkStart w:id="481" w:name="_Toc71097242"/>
      <w:bookmarkStart w:id="482" w:name="_Toc71097317"/>
      <w:bookmarkStart w:id="483" w:name="_Toc71108057"/>
      <w:bookmarkStart w:id="484" w:name="_Toc79055251"/>
      <w:bookmarkStart w:id="485" w:name="_Toc79055282"/>
      <w:bookmarkStart w:id="486" w:name="_Toc79060173"/>
      <w:bookmarkStart w:id="487" w:name="_Toc79060460"/>
      <w:bookmarkStart w:id="488" w:name="_Toc81307817"/>
      <w:bookmarkStart w:id="489" w:name="_Toc83376478"/>
      <w:bookmarkStart w:id="490" w:name="_Toc86386717"/>
      <w:bookmarkStart w:id="491" w:name="_Toc86405403"/>
      <w:bookmarkStart w:id="492" w:name="_Toc98162433"/>
      <w:bookmarkStart w:id="493" w:name="_Toc98162465"/>
      <w:bookmarkStart w:id="494" w:name="_Toc98234991"/>
      <w:bookmarkStart w:id="495" w:name="_Toc98235186"/>
      <w:bookmarkStart w:id="496" w:name="_Toc98235271"/>
      <w:bookmarkStart w:id="497" w:name="_Toc98757141"/>
      <w:bookmarkStart w:id="498" w:name="_Toc101874696"/>
      <w:bookmarkStart w:id="499" w:name="_Toc101954152"/>
      <w:bookmarkStart w:id="500" w:name="_Toc101971969"/>
      <w:bookmarkStart w:id="501" w:name="_Toc101974061"/>
      <w:bookmarkStart w:id="502" w:name="_Toc102039746"/>
      <w:bookmarkStart w:id="503" w:name="_Toc102039784"/>
      <w:bookmarkStart w:id="504" w:name="_Toc102039824"/>
      <w:bookmarkStart w:id="505" w:name="_Toc102039855"/>
      <w:bookmarkStart w:id="506" w:name="_Toc102040913"/>
      <w:bookmarkStart w:id="507" w:name="_Toc102477761"/>
      <w:bookmarkStart w:id="508" w:name="_Toc102477792"/>
      <w:bookmarkStart w:id="509" w:name="_Toc109824822"/>
      <w:bookmarkStart w:id="510" w:name="_Toc109828778"/>
      <w:bookmarkStart w:id="511" w:name="_Toc109828841"/>
      <w:bookmarkStart w:id="512" w:name="_Toc109829017"/>
      <w:bookmarkStart w:id="513" w:name="_Toc109829048"/>
      <w:bookmarkStart w:id="514" w:name="_Toc109833892"/>
      <w:bookmarkStart w:id="515" w:name="_Toc110237435"/>
      <w:bookmarkStart w:id="516" w:name="_Toc117775312"/>
      <w:bookmarkStart w:id="517" w:name="_Toc117781281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</w:p>
    <w:p w14:paraId="22827CBA" w14:textId="77777777" w:rsidR="003E3101" w:rsidRPr="00FC4688" w:rsidRDefault="003E3101" w:rsidP="003E3101">
      <w:pPr>
        <w:pStyle w:val="Ttulo2"/>
        <w:numPr>
          <w:ilvl w:val="1"/>
          <w:numId w:val="12"/>
        </w:numPr>
        <w:tabs>
          <w:tab w:val="left" w:pos="426"/>
        </w:tabs>
        <w:spacing w:before="0"/>
        <w:ind w:left="284" w:hanging="284"/>
        <w:rPr>
          <w:rFonts w:cs="Times New Roman"/>
          <w:szCs w:val="22"/>
        </w:rPr>
        <w:sectPr w:rsidR="003E3101" w:rsidRPr="00FC4688" w:rsidSect="00CB498E">
          <w:headerReference w:type="default" r:id="rId22"/>
          <w:footerReference w:type="default" r:id="rId23"/>
          <w:headerReference w:type="first" r:id="rId24"/>
          <w:footerReference w:type="first" r:id="rId25"/>
          <w:pgSz w:w="12240" w:h="15840" w:code="1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  <w:bookmarkStart w:id="518" w:name="_Toc117781282"/>
      <w:r w:rsidRPr="00FC4688">
        <w:rPr>
          <w:rFonts w:ascii="Times New Roman" w:hAnsi="Times New Roman" w:cs="Times New Roman"/>
          <w:color w:val="auto"/>
          <w:sz w:val="24"/>
        </w:rPr>
        <w:t>El gasto público presenta mayor dinamismo</w:t>
      </w:r>
      <w:bookmarkEnd w:id="518"/>
    </w:p>
    <w:p w14:paraId="6054E702" w14:textId="3F7A99AB" w:rsidR="00393D7D" w:rsidRPr="00FC4688" w:rsidRDefault="009B1A66" w:rsidP="00CD34D6">
      <w:pPr>
        <w:rPr>
          <w:rFonts w:cs="Times New Roman"/>
          <w:szCs w:val="22"/>
        </w:rPr>
      </w:pPr>
      <w:r w:rsidRPr="00FC4688">
        <w:rPr>
          <w:rFonts w:cs="Times New Roman"/>
          <w:noProof/>
          <w:lang w:eastAsia="es-GT"/>
        </w:rPr>
        <w:drawing>
          <wp:anchor distT="0" distB="0" distL="114300" distR="114300" simplePos="0" relativeHeight="251667460" behindDoc="0" locked="0" layoutInCell="1" allowOverlap="1" wp14:anchorId="052682B7" wp14:editId="226402D2">
            <wp:simplePos x="0" y="0"/>
            <wp:positionH relativeFrom="column">
              <wp:posOffset>3002280</wp:posOffset>
            </wp:positionH>
            <wp:positionV relativeFrom="paragraph">
              <wp:posOffset>49530</wp:posOffset>
            </wp:positionV>
            <wp:extent cx="2867025" cy="3623310"/>
            <wp:effectExtent l="0" t="0" r="0" b="0"/>
            <wp:wrapSquare wrapText="bothSides"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8EE" w:rsidRPr="00FC4688">
        <w:rPr>
          <w:rFonts w:cs="Times New Roman"/>
          <w:szCs w:val="22"/>
        </w:rPr>
        <w:t>E</w:t>
      </w:r>
      <w:r w:rsidR="00EE2B46" w:rsidRPr="00FC4688">
        <w:rPr>
          <w:rFonts w:cs="Times New Roman"/>
          <w:szCs w:val="22"/>
        </w:rPr>
        <w:t>n materia de</w:t>
      </w:r>
      <w:r w:rsidR="002E48EE" w:rsidRPr="00FC4688">
        <w:rPr>
          <w:rFonts w:cs="Times New Roman"/>
          <w:szCs w:val="22"/>
        </w:rPr>
        <w:t xml:space="preserve"> gasto </w:t>
      </w:r>
      <w:r w:rsidR="005046A1" w:rsidRPr="00FC4688">
        <w:rPr>
          <w:rFonts w:cs="Times New Roman"/>
          <w:szCs w:val="22"/>
        </w:rPr>
        <w:t>público, al</w:t>
      </w:r>
      <w:r w:rsidR="002E48EE" w:rsidRPr="00FC4688">
        <w:rPr>
          <w:rFonts w:cs="Times New Roman"/>
          <w:szCs w:val="22"/>
        </w:rPr>
        <w:t xml:space="preserve"> tercer trimestre </w:t>
      </w:r>
      <w:r w:rsidR="00EE2B46" w:rsidRPr="00FC4688">
        <w:rPr>
          <w:rFonts w:cs="Times New Roman"/>
          <w:szCs w:val="22"/>
        </w:rPr>
        <w:t xml:space="preserve">se observa que este </w:t>
      </w:r>
      <w:r w:rsidR="002E48EE" w:rsidRPr="00FC4688">
        <w:rPr>
          <w:rFonts w:cs="Times New Roman"/>
          <w:szCs w:val="22"/>
        </w:rPr>
        <w:t>asciende a Q72,007.8 millones, que representa un crecimiento de</w:t>
      </w:r>
      <w:r w:rsidR="005046A1" w:rsidRPr="00FC4688">
        <w:rPr>
          <w:rFonts w:cs="Times New Roman"/>
          <w:szCs w:val="22"/>
        </w:rPr>
        <w:t xml:space="preserve"> 16.7%</w:t>
      </w:r>
      <w:r w:rsidR="002E48EE" w:rsidRPr="00FC4688">
        <w:rPr>
          <w:rFonts w:cs="Times New Roman"/>
          <w:szCs w:val="22"/>
        </w:rPr>
        <w:t xml:space="preserve"> </w:t>
      </w:r>
      <w:r w:rsidR="005046A1" w:rsidRPr="00FC4688">
        <w:rPr>
          <w:rFonts w:cs="Times New Roman"/>
          <w:szCs w:val="22"/>
        </w:rPr>
        <w:t>(</w:t>
      </w:r>
      <w:r w:rsidR="002E48EE" w:rsidRPr="00FC4688">
        <w:rPr>
          <w:rFonts w:cs="Times New Roman"/>
          <w:szCs w:val="22"/>
        </w:rPr>
        <w:t xml:space="preserve">Q10,321.6 millones) respecto del mismo periodo del año previo. Es pertinente enfatizar que esta tasa de crecimiento es superior al -1.5% observado en 2021 para el mismo periodo, ya que el gasto público del año anterior se vio afectado de forma negativa por la no aprobación del presupuesto, </w:t>
      </w:r>
      <w:r w:rsidR="00F417AA" w:rsidRPr="00FC4688">
        <w:rPr>
          <w:rFonts w:cs="Times New Roman"/>
          <w:szCs w:val="22"/>
        </w:rPr>
        <w:t xml:space="preserve">así </w:t>
      </w:r>
      <w:r w:rsidR="002E48EE" w:rsidRPr="00FC4688">
        <w:rPr>
          <w:rFonts w:cs="Times New Roman"/>
          <w:szCs w:val="22"/>
        </w:rPr>
        <w:t>como por el alto dinamismo que experimentó el gasto en 2020 derivado de la Pandemia del Covid-19.</w:t>
      </w:r>
      <w:r w:rsidR="00E53D13" w:rsidRPr="00FC4688">
        <w:rPr>
          <w:rFonts w:cs="Times New Roman"/>
          <w:szCs w:val="22"/>
        </w:rPr>
        <w:t xml:space="preserve"> </w:t>
      </w:r>
    </w:p>
    <w:p w14:paraId="342F1DC8" w14:textId="77777777" w:rsidR="00393D7D" w:rsidRPr="00FC4688" w:rsidRDefault="00393D7D" w:rsidP="00CD34D6">
      <w:pPr>
        <w:rPr>
          <w:rFonts w:cs="Times New Roman"/>
          <w:szCs w:val="22"/>
        </w:rPr>
      </w:pPr>
    </w:p>
    <w:p w14:paraId="13F8DD93" w14:textId="3DA2182C" w:rsidR="007B53E5" w:rsidRPr="00FC4688" w:rsidRDefault="00797192" w:rsidP="007B53E5">
      <w:pPr>
        <w:rPr>
          <w:rFonts w:cs="Times New Roman"/>
          <w:szCs w:val="22"/>
        </w:rPr>
      </w:pPr>
      <w:r w:rsidRPr="00FC4688">
        <w:rPr>
          <w:rFonts w:cs="Times New Roman"/>
          <w:szCs w:val="22"/>
        </w:rPr>
        <w:t>A nivel de</w:t>
      </w:r>
      <w:r w:rsidR="007B53E5" w:rsidRPr="00FC4688">
        <w:rPr>
          <w:rFonts w:cs="Times New Roman"/>
          <w:szCs w:val="22"/>
        </w:rPr>
        <w:t xml:space="preserve"> cuenta</w:t>
      </w:r>
      <w:r w:rsidRPr="00FC4688">
        <w:rPr>
          <w:rFonts w:cs="Times New Roman"/>
          <w:szCs w:val="22"/>
        </w:rPr>
        <w:t>s</w:t>
      </w:r>
      <w:r w:rsidR="007B53E5" w:rsidRPr="00FC4688">
        <w:rPr>
          <w:rFonts w:cs="Times New Roman"/>
          <w:szCs w:val="22"/>
        </w:rPr>
        <w:t xml:space="preserve"> económica</w:t>
      </w:r>
      <w:r w:rsidRPr="00FC4688">
        <w:rPr>
          <w:rFonts w:cs="Times New Roman"/>
          <w:szCs w:val="22"/>
        </w:rPr>
        <w:t>s</w:t>
      </w:r>
      <w:r w:rsidR="007B53E5" w:rsidRPr="00FC4688">
        <w:rPr>
          <w:rFonts w:cs="Times New Roman"/>
          <w:szCs w:val="22"/>
        </w:rPr>
        <w:t xml:space="preserve">, el mayor crecimiento interanual se refleja en las donaciones, </w:t>
      </w:r>
      <w:r w:rsidRPr="00FC4688">
        <w:rPr>
          <w:rFonts w:cs="Times New Roman"/>
          <w:szCs w:val="22"/>
        </w:rPr>
        <w:t>esta cuenta</w:t>
      </w:r>
      <w:r w:rsidR="007B53E5" w:rsidRPr="00FC4688">
        <w:rPr>
          <w:rFonts w:cs="Times New Roman"/>
          <w:szCs w:val="22"/>
        </w:rPr>
        <w:t xml:space="preserve"> asciende a Q17,837.8 millones, que representa </w:t>
      </w:r>
      <w:r w:rsidR="00FA2A79" w:rsidRPr="00FC4688">
        <w:rPr>
          <w:rFonts w:cs="Times New Roman"/>
          <w:szCs w:val="22"/>
        </w:rPr>
        <w:t xml:space="preserve">un </w:t>
      </w:r>
      <w:r w:rsidR="007B53E5" w:rsidRPr="00FC4688">
        <w:rPr>
          <w:rFonts w:cs="Times New Roman"/>
          <w:szCs w:val="22"/>
        </w:rPr>
        <w:t>incremento de 19.5%</w:t>
      </w:r>
      <w:r w:rsidR="008B2A9D" w:rsidRPr="00FC4688">
        <w:rPr>
          <w:rFonts w:cs="Times New Roman"/>
          <w:szCs w:val="22"/>
        </w:rPr>
        <w:t xml:space="preserve"> </w:t>
      </w:r>
      <w:r w:rsidR="00006172" w:rsidRPr="00FC4688">
        <w:rPr>
          <w:rFonts w:cs="Times New Roman"/>
          <w:szCs w:val="22"/>
        </w:rPr>
        <w:t>(Q2,913.4 millones) y</w:t>
      </w:r>
      <w:r w:rsidR="007B53E5" w:rsidRPr="00FC4688">
        <w:rPr>
          <w:rFonts w:cs="Times New Roman"/>
          <w:szCs w:val="22"/>
        </w:rPr>
        <w:t xml:space="preserve"> se explica </w:t>
      </w:r>
      <w:r w:rsidR="00006172" w:rsidRPr="00FC4688">
        <w:rPr>
          <w:rFonts w:cs="Times New Roman"/>
          <w:szCs w:val="22"/>
        </w:rPr>
        <w:t xml:space="preserve">principalmente </w:t>
      </w:r>
      <w:r w:rsidR="007B53E5" w:rsidRPr="00FC4688">
        <w:rPr>
          <w:rFonts w:cs="Times New Roman"/>
          <w:szCs w:val="22"/>
        </w:rPr>
        <w:t xml:space="preserve">en </w:t>
      </w:r>
      <w:r w:rsidR="00B4474E" w:rsidRPr="00FC4688">
        <w:rPr>
          <w:rFonts w:cs="Times New Roman"/>
          <w:szCs w:val="22"/>
        </w:rPr>
        <w:t xml:space="preserve">transferencia </w:t>
      </w:r>
      <w:r w:rsidR="000B72EA" w:rsidRPr="00FC4688">
        <w:rPr>
          <w:rFonts w:cs="Times New Roman"/>
          <w:szCs w:val="22"/>
        </w:rPr>
        <w:t>otorgadas</w:t>
      </w:r>
      <w:r w:rsidR="007B53E5" w:rsidRPr="00FC4688">
        <w:rPr>
          <w:rFonts w:cs="Times New Roman"/>
          <w:szCs w:val="22"/>
        </w:rPr>
        <w:t xml:space="preserve"> al Ministerio Público </w:t>
      </w:r>
      <w:r w:rsidR="003A0357" w:rsidRPr="00FC4688">
        <w:rPr>
          <w:rFonts w:cs="Times New Roman"/>
          <w:szCs w:val="22"/>
        </w:rPr>
        <w:t>(</w:t>
      </w:r>
      <w:r w:rsidR="00CA0264" w:rsidRPr="00FC4688">
        <w:rPr>
          <w:rFonts w:cs="Times New Roman"/>
          <w:szCs w:val="22"/>
        </w:rPr>
        <w:t xml:space="preserve">fue mayor en </w:t>
      </w:r>
      <w:r w:rsidR="007B53E5" w:rsidRPr="00FC4688">
        <w:rPr>
          <w:rFonts w:cs="Times New Roman"/>
          <w:szCs w:val="22"/>
        </w:rPr>
        <w:t>Q</w:t>
      </w:r>
      <w:r w:rsidR="003A0357" w:rsidRPr="00FC4688">
        <w:rPr>
          <w:rFonts w:cs="Times New Roman"/>
          <w:szCs w:val="22"/>
        </w:rPr>
        <w:t>646</w:t>
      </w:r>
      <w:r w:rsidR="007B53E5" w:rsidRPr="00FC4688">
        <w:rPr>
          <w:rFonts w:cs="Times New Roman"/>
          <w:szCs w:val="22"/>
        </w:rPr>
        <w:t>.</w:t>
      </w:r>
      <w:r w:rsidR="003A0357" w:rsidRPr="00FC4688">
        <w:rPr>
          <w:rFonts w:cs="Times New Roman"/>
          <w:szCs w:val="22"/>
        </w:rPr>
        <w:t>8</w:t>
      </w:r>
      <w:r w:rsidR="00484A7A" w:rsidRPr="00FC4688">
        <w:rPr>
          <w:rFonts w:cs="Times New Roman"/>
          <w:szCs w:val="22"/>
        </w:rPr>
        <w:t xml:space="preserve"> millones</w:t>
      </w:r>
      <w:r w:rsidR="00B90334" w:rsidRPr="00FC4688">
        <w:rPr>
          <w:rFonts w:cs="Times New Roman"/>
          <w:szCs w:val="22"/>
        </w:rPr>
        <w:t xml:space="preserve"> r</w:t>
      </w:r>
      <w:r w:rsidR="00FE7273" w:rsidRPr="00FC4688">
        <w:rPr>
          <w:rFonts w:cs="Times New Roman"/>
          <w:szCs w:val="22"/>
        </w:rPr>
        <w:t>especto 2021</w:t>
      </w:r>
      <w:r w:rsidR="003A0357" w:rsidRPr="00FC4688">
        <w:rPr>
          <w:rFonts w:cs="Times New Roman"/>
          <w:szCs w:val="22"/>
        </w:rPr>
        <w:t>)</w:t>
      </w:r>
      <w:r w:rsidR="00F731B5" w:rsidRPr="00FC4688">
        <w:rPr>
          <w:rFonts w:cs="Times New Roman"/>
          <w:szCs w:val="22"/>
        </w:rPr>
        <w:t>,</w:t>
      </w:r>
      <w:r w:rsidR="00FE7273" w:rsidRPr="00FC4688">
        <w:rPr>
          <w:rFonts w:cs="Times New Roman"/>
          <w:szCs w:val="22"/>
        </w:rPr>
        <w:t xml:space="preserve"> al</w:t>
      </w:r>
      <w:r w:rsidR="00B90334" w:rsidRPr="00FC4688">
        <w:rPr>
          <w:rFonts w:cs="Times New Roman"/>
          <w:szCs w:val="22"/>
        </w:rPr>
        <w:t xml:space="preserve"> Tribunal Supremo Electoral (</w:t>
      </w:r>
      <w:r w:rsidR="00206722" w:rsidRPr="00FC4688">
        <w:rPr>
          <w:rFonts w:cs="Times New Roman"/>
          <w:szCs w:val="22"/>
        </w:rPr>
        <w:t>mayor</w:t>
      </w:r>
      <w:r w:rsidR="00FE7273" w:rsidRPr="00FC4688">
        <w:rPr>
          <w:rFonts w:cs="Times New Roman"/>
          <w:szCs w:val="22"/>
        </w:rPr>
        <w:t xml:space="preserve"> en</w:t>
      </w:r>
      <w:r w:rsidR="00FC2EA8" w:rsidRPr="00FC4688">
        <w:rPr>
          <w:rFonts w:cs="Times New Roman"/>
          <w:szCs w:val="22"/>
        </w:rPr>
        <w:t xml:space="preserve"> </w:t>
      </w:r>
      <w:r w:rsidR="00B90334" w:rsidRPr="00FC4688">
        <w:rPr>
          <w:rFonts w:cs="Times New Roman"/>
          <w:szCs w:val="22"/>
        </w:rPr>
        <w:t>Q</w:t>
      </w:r>
      <w:r w:rsidR="00F731B5" w:rsidRPr="00FC4688">
        <w:rPr>
          <w:rFonts w:cs="Times New Roman"/>
          <w:szCs w:val="22"/>
        </w:rPr>
        <w:t>502.6</w:t>
      </w:r>
      <w:r w:rsidR="00B90334" w:rsidRPr="00FC4688">
        <w:rPr>
          <w:rFonts w:cs="Times New Roman"/>
          <w:szCs w:val="22"/>
        </w:rPr>
        <w:t xml:space="preserve"> millones)</w:t>
      </w:r>
      <w:r w:rsidR="00F731B5" w:rsidRPr="00FC4688">
        <w:rPr>
          <w:rFonts w:cs="Times New Roman"/>
          <w:szCs w:val="22"/>
        </w:rPr>
        <w:t xml:space="preserve"> y al Organismo Judicial (mayor en Q3</w:t>
      </w:r>
      <w:r w:rsidR="00456AB1" w:rsidRPr="00FC4688">
        <w:rPr>
          <w:rFonts w:cs="Times New Roman"/>
          <w:szCs w:val="22"/>
        </w:rPr>
        <w:t>72</w:t>
      </w:r>
      <w:r w:rsidR="00F731B5" w:rsidRPr="00FC4688">
        <w:rPr>
          <w:rFonts w:cs="Times New Roman"/>
          <w:szCs w:val="22"/>
        </w:rPr>
        <w:t>.</w:t>
      </w:r>
      <w:r w:rsidR="00456AB1" w:rsidRPr="00FC4688">
        <w:rPr>
          <w:rFonts w:cs="Times New Roman"/>
          <w:szCs w:val="22"/>
        </w:rPr>
        <w:t>3</w:t>
      </w:r>
      <w:r w:rsidR="00F731B5" w:rsidRPr="00FC4688">
        <w:rPr>
          <w:rFonts w:cs="Times New Roman"/>
          <w:szCs w:val="22"/>
        </w:rPr>
        <w:t xml:space="preserve"> millones)</w:t>
      </w:r>
      <w:r w:rsidR="00456AB1" w:rsidRPr="00FC4688">
        <w:rPr>
          <w:rFonts w:cs="Times New Roman"/>
          <w:szCs w:val="22"/>
        </w:rPr>
        <w:t>.</w:t>
      </w:r>
    </w:p>
    <w:p w14:paraId="4D591F60" w14:textId="77777777" w:rsidR="007B53E5" w:rsidRPr="00FC4688" w:rsidRDefault="007B53E5" w:rsidP="007B53E5">
      <w:pPr>
        <w:rPr>
          <w:rFonts w:cs="Times New Roman"/>
          <w:szCs w:val="22"/>
        </w:rPr>
      </w:pPr>
    </w:p>
    <w:p w14:paraId="6F1590F2" w14:textId="4303CC0B" w:rsidR="007B53E5" w:rsidRPr="00FC4688" w:rsidRDefault="00BF20CD" w:rsidP="007B53E5">
      <w:r w:rsidRPr="00FC4688">
        <w:rPr>
          <w:rFonts w:cs="Times New Roman"/>
          <w:noProof/>
          <w:szCs w:val="22"/>
          <w:lang w:eastAsia="es-GT"/>
        </w:rPr>
        <w:lastRenderedPageBreak/>
        <w:drawing>
          <wp:inline distT="0" distB="0" distL="0" distR="0" wp14:anchorId="7B243B22" wp14:editId="4327542C">
            <wp:extent cx="5960745" cy="1883391"/>
            <wp:effectExtent l="0" t="0" r="1905" b="3175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FC2EA8" w:rsidRPr="00FC4688">
        <w:t>L</w:t>
      </w:r>
      <w:r w:rsidR="007B53E5" w:rsidRPr="00FC4688">
        <w:t xml:space="preserve">a segunda cuenta económica con mayor crecimiento </w:t>
      </w:r>
      <w:r w:rsidR="00613AAE" w:rsidRPr="00FC4688">
        <w:t>han sido</w:t>
      </w:r>
      <w:r w:rsidR="007B53E5" w:rsidRPr="00FC4688">
        <w:t xml:space="preserve"> </w:t>
      </w:r>
      <w:r w:rsidR="00613AAE" w:rsidRPr="00FC4688">
        <w:t>los</w:t>
      </w:r>
      <w:r w:rsidR="007B53E5" w:rsidRPr="00FC4688">
        <w:t xml:space="preserve"> subsidios, que a septiembre </w:t>
      </w:r>
      <w:r w:rsidR="00613AAE" w:rsidRPr="00FC4688">
        <w:t>se sitúa en</w:t>
      </w:r>
      <w:r w:rsidR="007B53E5" w:rsidRPr="00FC4688">
        <w:t xml:space="preserve"> Q2,960.8 millones, que representa variación interanual de 951.0%</w:t>
      </w:r>
      <w:r w:rsidR="007174AD" w:rsidRPr="00FC4688">
        <w:t xml:space="preserve"> (Q2,679.1 millones)</w:t>
      </w:r>
      <w:r w:rsidR="007B53E5" w:rsidRPr="00FC4688">
        <w:t>, lo cual se explica por los subsidios</w:t>
      </w:r>
      <w:r w:rsidR="00FB0804" w:rsidRPr="00FC4688">
        <w:t xml:space="preserve"> al gas propano, gasolinas y diésel</w:t>
      </w:r>
      <w:r w:rsidR="007B53E5" w:rsidRPr="00FC4688">
        <w:t xml:space="preserve"> </w:t>
      </w:r>
      <w:r w:rsidR="00FB0804" w:rsidRPr="00FC4688">
        <w:t>otorgados</w:t>
      </w:r>
      <w:r w:rsidR="007B53E5" w:rsidRPr="00FC4688">
        <w:t xml:space="preserve"> por el Ministerio de Energía y Minas</w:t>
      </w:r>
      <w:r w:rsidR="00FB0804" w:rsidRPr="00FC4688">
        <w:t xml:space="preserve"> </w:t>
      </w:r>
      <w:r w:rsidR="007B53E5" w:rsidRPr="00FC4688">
        <w:t xml:space="preserve">como </w:t>
      </w:r>
      <w:r w:rsidR="00FB0804" w:rsidRPr="00FC4688">
        <w:t xml:space="preserve">apoyo a </w:t>
      </w:r>
      <w:r w:rsidR="007B53E5" w:rsidRPr="00FC4688">
        <w:t>los hogares guatemaltecos</w:t>
      </w:r>
      <w:r w:rsidR="00FB0804" w:rsidRPr="00FC4688">
        <w:t xml:space="preserve"> </w:t>
      </w:r>
      <w:r w:rsidR="006337ED" w:rsidRPr="00FC4688">
        <w:t>derivado</w:t>
      </w:r>
      <w:r w:rsidR="007B53E5" w:rsidRPr="00FC4688">
        <w:t xml:space="preserve"> </w:t>
      </w:r>
      <w:r w:rsidR="006337ED" w:rsidRPr="00FC4688">
        <w:t>d</w:t>
      </w:r>
      <w:r w:rsidR="007B53E5" w:rsidRPr="00FC4688">
        <w:t>el efecto del incremento en los precios internacionales.</w:t>
      </w:r>
    </w:p>
    <w:p w14:paraId="75DC1E38" w14:textId="63BC2C7C" w:rsidR="00A6402B" w:rsidRPr="00FC4688" w:rsidRDefault="00A6402B" w:rsidP="00FB5489"/>
    <w:p w14:paraId="22E5367C" w14:textId="7055747B" w:rsidR="005856D7" w:rsidRPr="00FC4688" w:rsidRDefault="00CD3977" w:rsidP="005856D7">
      <w:pPr>
        <w:rPr>
          <w:rFonts w:cs="Times New Roman"/>
          <w:szCs w:val="22"/>
        </w:rPr>
      </w:pPr>
      <w:r w:rsidRPr="00FC4688">
        <w:rPr>
          <w:rFonts w:cs="Times New Roman"/>
          <w:szCs w:val="22"/>
        </w:rPr>
        <w:t>L</w:t>
      </w:r>
      <w:r w:rsidR="005856D7" w:rsidRPr="00FC4688">
        <w:rPr>
          <w:rFonts w:cs="Times New Roman"/>
          <w:szCs w:val="22"/>
        </w:rPr>
        <w:t>a categoría de otros gastos mostró</w:t>
      </w:r>
      <w:r w:rsidR="00B86A34" w:rsidRPr="00FC4688">
        <w:rPr>
          <w:rFonts w:cs="Times New Roman"/>
          <w:szCs w:val="22"/>
        </w:rPr>
        <w:t xml:space="preserve"> un</w:t>
      </w:r>
      <w:r w:rsidR="005856D7" w:rsidRPr="00FC4688">
        <w:rPr>
          <w:rFonts w:cs="Times New Roman"/>
          <w:szCs w:val="22"/>
        </w:rPr>
        <w:t xml:space="preserve"> crecimiento de</w:t>
      </w:r>
      <w:r w:rsidR="00A86458" w:rsidRPr="00FC4688">
        <w:rPr>
          <w:rFonts w:cs="Times New Roman"/>
          <w:szCs w:val="22"/>
        </w:rPr>
        <w:t xml:space="preserve"> 36.2%</w:t>
      </w:r>
      <w:r w:rsidR="005856D7" w:rsidRPr="00FC4688">
        <w:rPr>
          <w:rFonts w:cs="Times New Roman"/>
          <w:szCs w:val="22"/>
        </w:rPr>
        <w:t xml:space="preserve"> </w:t>
      </w:r>
      <w:r w:rsidR="00A86458" w:rsidRPr="00FC4688">
        <w:rPr>
          <w:rFonts w:cs="Times New Roman"/>
          <w:szCs w:val="22"/>
        </w:rPr>
        <w:t>(</w:t>
      </w:r>
      <w:r w:rsidR="005856D7" w:rsidRPr="00FC4688">
        <w:rPr>
          <w:rFonts w:cs="Times New Roman"/>
          <w:szCs w:val="22"/>
        </w:rPr>
        <w:t>Q1,447.7 millones</w:t>
      </w:r>
      <w:r w:rsidR="00A86458" w:rsidRPr="00FC4688">
        <w:rPr>
          <w:rFonts w:cs="Times New Roman"/>
          <w:szCs w:val="22"/>
        </w:rPr>
        <w:t>) y en términos acumulados</w:t>
      </w:r>
      <w:r w:rsidR="005856D7" w:rsidRPr="00FC4688">
        <w:rPr>
          <w:rFonts w:cs="Times New Roman"/>
          <w:szCs w:val="22"/>
        </w:rPr>
        <w:t xml:space="preserve"> </w:t>
      </w:r>
      <w:r w:rsidR="00A97A0B" w:rsidRPr="00FC4688">
        <w:rPr>
          <w:rFonts w:cs="Times New Roman"/>
          <w:szCs w:val="22"/>
        </w:rPr>
        <w:t xml:space="preserve">alcanzando los </w:t>
      </w:r>
      <w:r w:rsidR="005856D7" w:rsidRPr="00FC4688">
        <w:rPr>
          <w:rFonts w:cs="Times New Roman"/>
          <w:szCs w:val="22"/>
        </w:rPr>
        <w:t>Q5,441.6 millones</w:t>
      </w:r>
      <w:r w:rsidR="008C2345" w:rsidRPr="00FC4688">
        <w:rPr>
          <w:rFonts w:cs="Times New Roman"/>
          <w:szCs w:val="22"/>
        </w:rPr>
        <w:t>. E</w:t>
      </w:r>
      <w:r w:rsidR="005856D7" w:rsidRPr="00FC4688">
        <w:t>l gasto más significativo en esta división</w:t>
      </w:r>
      <w:r w:rsidR="00EB09C9" w:rsidRPr="00FC4688">
        <w:t xml:space="preserve"> son</w:t>
      </w:r>
      <w:r w:rsidR="005856D7" w:rsidRPr="00FC4688">
        <w:t xml:space="preserve"> </w:t>
      </w:r>
      <w:r w:rsidR="005856D7" w:rsidRPr="00FC4688">
        <w:rPr>
          <w:rFonts w:cs="Times New Roman"/>
          <w:szCs w:val="22"/>
        </w:rPr>
        <w:t xml:space="preserve">las transferencias no clasificadas en otra partida, que </w:t>
      </w:r>
      <w:r w:rsidR="00DD46BF" w:rsidRPr="00FC4688">
        <w:rPr>
          <w:rFonts w:cs="Times New Roman"/>
          <w:szCs w:val="22"/>
        </w:rPr>
        <w:t xml:space="preserve">se </w:t>
      </w:r>
      <w:r w:rsidR="005856D7" w:rsidRPr="00FC4688">
        <w:rPr>
          <w:rFonts w:cs="Times New Roman"/>
          <w:szCs w:val="22"/>
        </w:rPr>
        <w:t>incrementaron en</w:t>
      </w:r>
      <w:r w:rsidR="00DD46BF" w:rsidRPr="00FC4688">
        <w:rPr>
          <w:rFonts w:cs="Times New Roman"/>
          <w:szCs w:val="22"/>
        </w:rPr>
        <w:t xml:space="preserve"> 34.9%</w:t>
      </w:r>
      <w:r w:rsidR="005856D7" w:rsidRPr="00FC4688">
        <w:rPr>
          <w:rFonts w:cs="Times New Roman"/>
          <w:szCs w:val="22"/>
        </w:rPr>
        <w:t xml:space="preserve"> </w:t>
      </w:r>
      <w:r w:rsidR="00DD46BF" w:rsidRPr="00FC4688">
        <w:rPr>
          <w:rFonts w:cs="Times New Roman"/>
          <w:szCs w:val="22"/>
        </w:rPr>
        <w:t>(</w:t>
      </w:r>
      <w:r w:rsidR="005856D7" w:rsidRPr="00FC4688">
        <w:rPr>
          <w:rFonts w:cs="Times New Roman"/>
          <w:szCs w:val="22"/>
        </w:rPr>
        <w:t>Q1,311.0 millones</w:t>
      </w:r>
      <w:r w:rsidR="00DD46BF" w:rsidRPr="00FC4688">
        <w:rPr>
          <w:rFonts w:cs="Times New Roman"/>
          <w:szCs w:val="22"/>
        </w:rPr>
        <w:t>)</w:t>
      </w:r>
      <w:r w:rsidR="005856D7" w:rsidRPr="00FC4688">
        <w:rPr>
          <w:rFonts w:cs="Times New Roman"/>
          <w:szCs w:val="22"/>
        </w:rPr>
        <w:t xml:space="preserve"> explicado principalmente por las trasferencias realizadas a instituciones sin fines de lucro al servicio de los hogares guatemaltecos.</w:t>
      </w:r>
      <w:r w:rsidR="00A90ED3" w:rsidRPr="00FC4688">
        <w:rPr>
          <w:rFonts w:cs="Times New Roman"/>
          <w:szCs w:val="22"/>
        </w:rPr>
        <w:t xml:space="preserve"> </w:t>
      </w:r>
      <w:r w:rsidR="005856D7" w:rsidRPr="00FC4688">
        <w:rPr>
          <w:rFonts w:cs="Times New Roman"/>
          <w:szCs w:val="22"/>
        </w:rPr>
        <w:t xml:space="preserve">Aunado a lo anterior, el gasto en uso de bienes y servicios asciende a Q9,378.0 millones con crecimiento de </w:t>
      </w:r>
      <w:r w:rsidR="00FD2FF2" w:rsidRPr="00FC4688">
        <w:rPr>
          <w:rFonts w:cs="Times New Roman"/>
          <w:szCs w:val="22"/>
        </w:rPr>
        <w:t>17.7% (</w:t>
      </w:r>
      <w:r w:rsidR="005856D7" w:rsidRPr="00FC4688">
        <w:rPr>
          <w:rFonts w:cs="Times New Roman"/>
          <w:szCs w:val="22"/>
        </w:rPr>
        <w:t>Q1,410.7 millones</w:t>
      </w:r>
      <w:r w:rsidR="00FD2FF2" w:rsidRPr="00FC4688">
        <w:rPr>
          <w:rFonts w:cs="Times New Roman"/>
          <w:szCs w:val="22"/>
        </w:rPr>
        <w:t>)</w:t>
      </w:r>
      <w:r w:rsidR="005856D7" w:rsidRPr="00FC4688">
        <w:rPr>
          <w:rFonts w:cs="Times New Roman"/>
          <w:szCs w:val="22"/>
        </w:rPr>
        <w:t>, seguido por las remuneraciones a los empleados</w:t>
      </w:r>
      <w:r w:rsidR="00FD2FF2" w:rsidRPr="00FC4688">
        <w:rPr>
          <w:rFonts w:cs="Times New Roman"/>
          <w:szCs w:val="22"/>
        </w:rPr>
        <w:t xml:space="preserve"> que ascienden a</w:t>
      </w:r>
      <w:r w:rsidR="00731E16" w:rsidRPr="00FC4688">
        <w:rPr>
          <w:rFonts w:cs="Times New Roman"/>
          <w:szCs w:val="22"/>
        </w:rPr>
        <w:t xml:space="preserve"> </w:t>
      </w:r>
      <w:r w:rsidR="005856D7" w:rsidRPr="00FC4688">
        <w:rPr>
          <w:rFonts w:cs="Times New Roman"/>
          <w:szCs w:val="22"/>
        </w:rPr>
        <w:t xml:space="preserve">Q23,205.6 </w:t>
      </w:r>
      <w:r w:rsidR="00731E16" w:rsidRPr="00FC4688">
        <w:rPr>
          <w:rFonts w:cs="Times New Roman"/>
          <w:szCs w:val="22"/>
        </w:rPr>
        <w:t xml:space="preserve">con un aumento </w:t>
      </w:r>
      <w:r w:rsidR="005856D7" w:rsidRPr="00FC4688">
        <w:rPr>
          <w:rFonts w:cs="Times New Roman"/>
          <w:szCs w:val="22"/>
        </w:rPr>
        <w:t>interanual de 4.4%</w:t>
      </w:r>
      <w:r w:rsidR="00731E16" w:rsidRPr="00FC4688">
        <w:rPr>
          <w:rFonts w:cs="Times New Roman"/>
          <w:szCs w:val="22"/>
        </w:rPr>
        <w:t xml:space="preserve"> (Q 968.5 millones),</w:t>
      </w:r>
      <w:r w:rsidR="005856D7" w:rsidRPr="00FC4688">
        <w:rPr>
          <w:rFonts w:cs="Times New Roman"/>
          <w:szCs w:val="22"/>
        </w:rPr>
        <w:t xml:space="preserve"> en tanto el gasto por intereses</w:t>
      </w:r>
      <w:r w:rsidR="001069AF" w:rsidRPr="00FC4688">
        <w:rPr>
          <w:rFonts w:cs="Times New Roman"/>
          <w:szCs w:val="22"/>
        </w:rPr>
        <w:t xml:space="preserve"> se sitúa en Q8,450.0 millones</w:t>
      </w:r>
      <w:r w:rsidR="005856D7" w:rsidRPr="00FC4688">
        <w:rPr>
          <w:rFonts w:cs="Times New Roman"/>
          <w:szCs w:val="22"/>
        </w:rPr>
        <w:t xml:space="preserve"> mostra</w:t>
      </w:r>
      <w:r w:rsidR="002C0250" w:rsidRPr="00FC4688">
        <w:rPr>
          <w:rFonts w:cs="Times New Roman"/>
          <w:szCs w:val="22"/>
        </w:rPr>
        <w:t>ndo</w:t>
      </w:r>
      <w:r w:rsidR="005856D7" w:rsidRPr="00FC4688">
        <w:rPr>
          <w:rFonts w:cs="Times New Roman"/>
          <w:szCs w:val="22"/>
        </w:rPr>
        <w:t xml:space="preserve"> </w:t>
      </w:r>
      <w:r w:rsidR="002C0250" w:rsidRPr="00FC4688">
        <w:rPr>
          <w:rFonts w:cs="Times New Roman"/>
          <w:szCs w:val="22"/>
        </w:rPr>
        <w:t xml:space="preserve">un </w:t>
      </w:r>
      <w:r w:rsidR="005856D7" w:rsidRPr="00FC4688">
        <w:rPr>
          <w:rFonts w:cs="Times New Roman"/>
          <w:szCs w:val="22"/>
        </w:rPr>
        <w:t xml:space="preserve">crecimiento </w:t>
      </w:r>
      <w:r w:rsidR="002C0250" w:rsidRPr="00FC4688">
        <w:rPr>
          <w:rFonts w:cs="Times New Roman"/>
          <w:szCs w:val="22"/>
        </w:rPr>
        <w:t>d</w:t>
      </w:r>
      <w:r w:rsidR="005856D7" w:rsidRPr="00FC4688">
        <w:rPr>
          <w:rFonts w:cs="Times New Roman"/>
          <w:szCs w:val="22"/>
        </w:rPr>
        <w:t>e 8.1%</w:t>
      </w:r>
      <w:r w:rsidR="00BE4D4F" w:rsidRPr="00FC4688">
        <w:rPr>
          <w:rFonts w:cs="Times New Roman"/>
          <w:szCs w:val="22"/>
        </w:rPr>
        <w:t xml:space="preserve"> (</w:t>
      </w:r>
      <w:r w:rsidR="005856D7" w:rsidRPr="00FC4688">
        <w:rPr>
          <w:rFonts w:cs="Times New Roman"/>
          <w:szCs w:val="22"/>
        </w:rPr>
        <w:t>Q634.2 millones</w:t>
      </w:r>
      <w:r w:rsidR="00BE4D4F" w:rsidRPr="00FC4688">
        <w:rPr>
          <w:rFonts w:cs="Times New Roman"/>
          <w:szCs w:val="22"/>
        </w:rPr>
        <w:t>)</w:t>
      </w:r>
      <w:r w:rsidR="00743050" w:rsidRPr="00FC4688">
        <w:rPr>
          <w:rFonts w:cs="Times New Roman"/>
          <w:szCs w:val="22"/>
        </w:rPr>
        <w:t xml:space="preserve"> y </w:t>
      </w:r>
      <w:r w:rsidR="005856D7" w:rsidRPr="00FC4688">
        <w:rPr>
          <w:rFonts w:cs="Times New Roman"/>
          <w:szCs w:val="22"/>
        </w:rPr>
        <w:t>las prestaciones sociales se situaron en Q4,734.0 millones con crecimiento de 6.0% (Q268.0 millones).</w:t>
      </w:r>
    </w:p>
    <w:p w14:paraId="0F096663" w14:textId="77777777" w:rsidR="005856D7" w:rsidRPr="00FC4688" w:rsidRDefault="005856D7" w:rsidP="005856D7">
      <w:pPr>
        <w:rPr>
          <w:rFonts w:cs="Times New Roman"/>
          <w:szCs w:val="22"/>
        </w:rPr>
      </w:pPr>
    </w:p>
    <w:p w14:paraId="4E1E7B91" w14:textId="77777777" w:rsidR="008B2529" w:rsidRPr="00FC4688" w:rsidRDefault="006122C1" w:rsidP="008B2529">
      <w:pPr>
        <w:pStyle w:val="Prrafodelista"/>
        <w:numPr>
          <w:ilvl w:val="0"/>
          <w:numId w:val="1"/>
        </w:numPr>
        <w:ind w:left="426" w:hanging="426"/>
        <w:outlineLvl w:val="0"/>
        <w:rPr>
          <w:rFonts w:cs="Times New Roman"/>
          <w:b/>
          <w:sz w:val="24"/>
          <w:lang w:val="es-MX"/>
        </w:rPr>
      </w:pPr>
      <w:bookmarkStart w:id="519" w:name="_Toc42023961"/>
      <w:bookmarkStart w:id="520" w:name="_Toc42024013"/>
      <w:bookmarkStart w:id="521" w:name="_Toc117781283"/>
      <w:bookmarkStart w:id="522" w:name="_Toc411347499"/>
      <w:bookmarkEnd w:id="519"/>
      <w:bookmarkEnd w:id="520"/>
      <w:r w:rsidRPr="00FC4688">
        <w:rPr>
          <w:rFonts w:cs="Times New Roman"/>
          <w:b/>
          <w:sz w:val="24"/>
          <w:lang w:val="es-MX"/>
        </w:rPr>
        <w:t xml:space="preserve">Transacciones en Activos </w:t>
      </w:r>
      <w:r w:rsidR="00F4077C" w:rsidRPr="00FC4688">
        <w:rPr>
          <w:rFonts w:cs="Times New Roman"/>
          <w:b/>
          <w:sz w:val="24"/>
          <w:lang w:val="es-MX"/>
        </w:rPr>
        <w:t>No Financieros</w:t>
      </w:r>
      <w:bookmarkEnd w:id="521"/>
    </w:p>
    <w:p w14:paraId="0277483D" w14:textId="77777777" w:rsidR="00A72A8F" w:rsidRPr="00FC4688" w:rsidRDefault="006E4C13" w:rsidP="00C17472">
      <w:pPr>
        <w:rPr>
          <w:rFonts w:cs="Times New Roman"/>
          <w:sz w:val="24"/>
          <w:lang w:val="es-MX"/>
        </w:rPr>
      </w:pPr>
      <w:r w:rsidRPr="00FC4688">
        <w:rPr>
          <w:rFonts w:eastAsiaTheme="majorEastAsia"/>
          <w:noProof/>
          <w:lang w:eastAsia="es-GT"/>
        </w:rPr>
        <w:drawing>
          <wp:inline distT="0" distB="0" distL="0" distR="0" wp14:anchorId="442F73B6" wp14:editId="7EFD020C">
            <wp:extent cx="5836920" cy="876300"/>
            <wp:effectExtent l="76200" t="38100" r="87630" b="133350"/>
            <wp:docPr id="20" name="Diagrama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351B087A" w14:textId="77777777" w:rsidR="00A72A8F" w:rsidRPr="00FC4688" w:rsidRDefault="00A72A8F" w:rsidP="00A72A8F">
      <w:pPr>
        <w:pStyle w:val="Prrafodelista"/>
        <w:keepNext/>
        <w:keepLines/>
        <w:numPr>
          <w:ilvl w:val="0"/>
          <w:numId w:val="12"/>
        </w:numPr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val="es-ES_tradnl" w:eastAsia="es-ES"/>
        </w:rPr>
      </w:pPr>
      <w:bookmarkStart w:id="523" w:name="_Toc33109793"/>
      <w:bookmarkStart w:id="524" w:name="_Toc33109836"/>
      <w:bookmarkStart w:id="525" w:name="_Toc33180557"/>
      <w:bookmarkStart w:id="526" w:name="_Toc33180651"/>
      <w:bookmarkStart w:id="527" w:name="_Toc33193548"/>
      <w:bookmarkStart w:id="528" w:name="_Toc33193587"/>
      <w:bookmarkStart w:id="529" w:name="_Toc33196784"/>
      <w:bookmarkStart w:id="530" w:name="_Toc40691760"/>
      <w:bookmarkStart w:id="531" w:name="_Toc40959160"/>
      <w:bookmarkStart w:id="532" w:name="_Toc40975994"/>
      <w:bookmarkStart w:id="533" w:name="_Toc40976063"/>
      <w:bookmarkStart w:id="534" w:name="_Toc40993318"/>
      <w:bookmarkStart w:id="535" w:name="_Toc40993700"/>
      <w:bookmarkStart w:id="536" w:name="_Toc41037576"/>
      <w:bookmarkStart w:id="537" w:name="_Toc41254136"/>
      <w:bookmarkStart w:id="538" w:name="_Toc41254168"/>
      <w:bookmarkStart w:id="539" w:name="_Toc41254188"/>
      <w:bookmarkStart w:id="540" w:name="_Toc42023964"/>
      <w:bookmarkStart w:id="541" w:name="_Toc42024015"/>
      <w:bookmarkStart w:id="542" w:name="_Toc42069112"/>
      <w:bookmarkStart w:id="543" w:name="_Toc49422058"/>
      <w:bookmarkStart w:id="544" w:name="_Toc49422084"/>
      <w:bookmarkStart w:id="545" w:name="_Toc49430663"/>
      <w:bookmarkStart w:id="546" w:name="_Toc49430689"/>
      <w:bookmarkStart w:id="547" w:name="_Toc49750466"/>
      <w:bookmarkStart w:id="548" w:name="_Toc49750716"/>
      <w:bookmarkStart w:id="549" w:name="_Toc49750744"/>
      <w:bookmarkStart w:id="550" w:name="_Toc55284830"/>
      <w:bookmarkStart w:id="551" w:name="_Toc55298848"/>
      <w:bookmarkStart w:id="552" w:name="_Toc55373829"/>
      <w:bookmarkStart w:id="553" w:name="_Toc55374002"/>
      <w:bookmarkStart w:id="554" w:name="_Toc55375139"/>
      <w:bookmarkStart w:id="555" w:name="_Toc55396547"/>
      <w:bookmarkStart w:id="556" w:name="_Toc65230544"/>
      <w:bookmarkStart w:id="557" w:name="_Toc65230782"/>
      <w:bookmarkStart w:id="558" w:name="_Toc65232066"/>
      <w:bookmarkStart w:id="559" w:name="_Toc65232311"/>
      <w:bookmarkStart w:id="560" w:name="_Toc66716170"/>
      <w:bookmarkStart w:id="561" w:name="_Toc71097214"/>
      <w:bookmarkStart w:id="562" w:name="_Toc71097245"/>
      <w:bookmarkStart w:id="563" w:name="_Toc71097320"/>
      <w:bookmarkStart w:id="564" w:name="_Toc71108060"/>
      <w:bookmarkStart w:id="565" w:name="_Toc79055254"/>
      <w:bookmarkStart w:id="566" w:name="_Toc79055285"/>
      <w:bookmarkStart w:id="567" w:name="_Toc79060176"/>
      <w:bookmarkStart w:id="568" w:name="_Toc79060463"/>
      <w:bookmarkStart w:id="569" w:name="_Toc81307820"/>
      <w:bookmarkStart w:id="570" w:name="_Toc83376481"/>
      <w:bookmarkStart w:id="571" w:name="_Toc86386720"/>
      <w:bookmarkStart w:id="572" w:name="_Toc86405406"/>
      <w:bookmarkStart w:id="573" w:name="_Toc98162436"/>
      <w:bookmarkStart w:id="574" w:name="_Toc98162468"/>
      <w:bookmarkStart w:id="575" w:name="_Toc98234994"/>
      <w:bookmarkStart w:id="576" w:name="_Toc98235189"/>
      <w:bookmarkStart w:id="577" w:name="_Toc98235274"/>
      <w:bookmarkStart w:id="578" w:name="_Toc98757144"/>
      <w:bookmarkStart w:id="579" w:name="_Toc101874699"/>
      <w:bookmarkStart w:id="580" w:name="_Toc101954155"/>
      <w:bookmarkStart w:id="581" w:name="_Toc101971972"/>
      <w:bookmarkStart w:id="582" w:name="_Toc101974064"/>
      <w:bookmarkStart w:id="583" w:name="_Toc102039749"/>
      <w:bookmarkStart w:id="584" w:name="_Toc102039787"/>
      <w:bookmarkStart w:id="585" w:name="_Toc102039827"/>
      <w:bookmarkStart w:id="586" w:name="_Toc102039858"/>
      <w:bookmarkStart w:id="587" w:name="_Toc102040916"/>
      <w:bookmarkStart w:id="588" w:name="_Toc102477764"/>
      <w:bookmarkStart w:id="589" w:name="_Toc102477795"/>
      <w:bookmarkStart w:id="590" w:name="_Toc109824825"/>
      <w:bookmarkStart w:id="591" w:name="_Toc109828781"/>
      <w:bookmarkStart w:id="592" w:name="_Toc109828844"/>
      <w:bookmarkStart w:id="593" w:name="_Toc109829020"/>
      <w:bookmarkStart w:id="594" w:name="_Toc109829051"/>
      <w:bookmarkStart w:id="595" w:name="_Toc109833895"/>
      <w:bookmarkStart w:id="596" w:name="_Toc110237438"/>
      <w:bookmarkStart w:id="597" w:name="_Toc117775315"/>
      <w:bookmarkStart w:id="598" w:name="_Toc117781284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</w:p>
    <w:p w14:paraId="36A443F6" w14:textId="00332173" w:rsidR="000F462B" w:rsidRPr="00FC4688" w:rsidRDefault="000F462B" w:rsidP="000F462B">
      <w:pPr>
        <w:pStyle w:val="Ttulo2"/>
        <w:numPr>
          <w:ilvl w:val="1"/>
          <w:numId w:val="12"/>
        </w:numPr>
        <w:tabs>
          <w:tab w:val="left" w:pos="426"/>
        </w:tabs>
        <w:spacing w:before="0"/>
        <w:ind w:left="284" w:hanging="284"/>
        <w:rPr>
          <w:rFonts w:ascii="Times New Roman" w:hAnsi="Times New Roman" w:cs="Times New Roman"/>
          <w:color w:val="auto"/>
          <w:sz w:val="24"/>
        </w:rPr>
      </w:pPr>
      <w:bookmarkStart w:id="599" w:name="_Toc117781285"/>
      <w:r w:rsidRPr="00FC4688">
        <w:rPr>
          <w:rFonts w:ascii="Times New Roman" w:hAnsi="Times New Roman" w:cs="Times New Roman"/>
          <w:color w:val="auto"/>
          <w:sz w:val="24"/>
        </w:rPr>
        <w:t xml:space="preserve">La inversión refleja </w:t>
      </w:r>
      <w:r w:rsidR="00A90ED3" w:rsidRPr="00FC4688">
        <w:rPr>
          <w:rFonts w:ascii="Times New Roman" w:hAnsi="Times New Roman" w:cs="Times New Roman"/>
          <w:color w:val="auto"/>
          <w:sz w:val="24"/>
        </w:rPr>
        <w:t xml:space="preserve">un </w:t>
      </w:r>
      <w:r w:rsidRPr="00FC4688">
        <w:rPr>
          <w:rFonts w:ascii="Times New Roman" w:hAnsi="Times New Roman" w:cs="Times New Roman"/>
          <w:color w:val="auto"/>
          <w:sz w:val="24"/>
        </w:rPr>
        <w:t>crecimiento respecto a 2021</w:t>
      </w:r>
      <w:bookmarkEnd w:id="599"/>
    </w:p>
    <w:p w14:paraId="34D480F5" w14:textId="5290E27F" w:rsidR="00F3371E" w:rsidRPr="00FC4688" w:rsidRDefault="00183B3E" w:rsidP="00CD34D6">
      <w:pPr>
        <w:rPr>
          <w:rFonts w:cs="Times New Roman"/>
          <w:szCs w:val="22"/>
        </w:rPr>
      </w:pPr>
      <w:r w:rsidRPr="00FC4688">
        <w:rPr>
          <w:rFonts w:cs="Times New Roman"/>
          <w:szCs w:val="22"/>
        </w:rPr>
        <w:t>La inversión bruta en activos no financieros acumulada al mes de septiembre de 2022 asciende a Q2,540.3 millones, lo cual representa aumento de 14.3%</w:t>
      </w:r>
      <w:r w:rsidR="00666945" w:rsidRPr="00FC4688">
        <w:rPr>
          <w:rFonts w:cs="Times New Roman"/>
          <w:szCs w:val="22"/>
        </w:rPr>
        <w:t xml:space="preserve"> (Q317.4 millones</w:t>
      </w:r>
      <w:r w:rsidRPr="00FC4688">
        <w:rPr>
          <w:rFonts w:cs="Times New Roman"/>
          <w:szCs w:val="22"/>
        </w:rPr>
        <w:t>) respecto al mismo periodo del año anterior. En este sentido, el principal activo</w:t>
      </w:r>
      <w:r w:rsidR="00666945" w:rsidRPr="00FC4688">
        <w:rPr>
          <w:rFonts w:cs="Times New Roman"/>
          <w:szCs w:val="22"/>
        </w:rPr>
        <w:t xml:space="preserve"> </w:t>
      </w:r>
      <w:r w:rsidR="00272F45" w:rsidRPr="00FC4688">
        <w:rPr>
          <w:rFonts w:cs="Times New Roman"/>
          <w:szCs w:val="22"/>
        </w:rPr>
        <w:t>fijo</w:t>
      </w:r>
      <w:r w:rsidRPr="00FC4688">
        <w:rPr>
          <w:rFonts w:cs="Times New Roman"/>
          <w:szCs w:val="22"/>
        </w:rPr>
        <w:t xml:space="preserve"> en </w:t>
      </w:r>
      <w:r w:rsidR="00DB4E5A" w:rsidRPr="00FC4688">
        <w:rPr>
          <w:rFonts w:cs="Times New Roman"/>
          <w:szCs w:val="22"/>
        </w:rPr>
        <w:t xml:space="preserve">el </w:t>
      </w:r>
      <w:r w:rsidRPr="00FC4688">
        <w:rPr>
          <w:rFonts w:cs="Times New Roman"/>
          <w:szCs w:val="22"/>
        </w:rPr>
        <w:t>que se ha invertido lo constituye</w:t>
      </w:r>
      <w:r w:rsidR="00181AAA" w:rsidRPr="00FC4688">
        <w:rPr>
          <w:rFonts w:cs="Times New Roman"/>
          <w:szCs w:val="22"/>
        </w:rPr>
        <w:t xml:space="preserve"> la cuenta</w:t>
      </w:r>
      <w:r w:rsidRPr="00FC4688">
        <w:rPr>
          <w:rFonts w:cs="Times New Roman"/>
          <w:szCs w:val="22"/>
        </w:rPr>
        <w:t xml:space="preserve"> </w:t>
      </w:r>
      <w:r w:rsidR="00181AAA" w:rsidRPr="00FC4688">
        <w:rPr>
          <w:rFonts w:cs="Times New Roman"/>
          <w:szCs w:val="22"/>
        </w:rPr>
        <w:t xml:space="preserve">económica de </w:t>
      </w:r>
      <w:r w:rsidRPr="00FC4688">
        <w:rPr>
          <w:rFonts w:cs="Times New Roman"/>
          <w:szCs w:val="22"/>
        </w:rPr>
        <w:t xml:space="preserve">edificios y estructuras </w:t>
      </w:r>
      <w:r w:rsidR="006941FC" w:rsidRPr="00FC4688">
        <w:rPr>
          <w:rFonts w:cs="Times New Roman"/>
          <w:szCs w:val="22"/>
        </w:rPr>
        <w:t xml:space="preserve">que asciende a </w:t>
      </w:r>
      <w:r w:rsidRPr="00FC4688">
        <w:rPr>
          <w:rFonts w:cs="Times New Roman"/>
          <w:szCs w:val="22"/>
        </w:rPr>
        <w:t>Q1</w:t>
      </w:r>
      <w:r w:rsidR="00F37FC1" w:rsidRPr="00FC4688">
        <w:rPr>
          <w:rFonts w:cs="Times New Roman"/>
          <w:szCs w:val="22"/>
        </w:rPr>
        <w:t>,</w:t>
      </w:r>
      <w:r w:rsidRPr="00FC4688">
        <w:rPr>
          <w:rFonts w:cs="Times New Roman"/>
          <w:szCs w:val="22"/>
        </w:rPr>
        <w:t>978.3 millones</w:t>
      </w:r>
      <w:r w:rsidR="006C1910" w:rsidRPr="00FC4688">
        <w:rPr>
          <w:rFonts w:cs="Times New Roman"/>
          <w:szCs w:val="22"/>
        </w:rPr>
        <w:t>,</w:t>
      </w:r>
      <w:r w:rsidR="006941FC" w:rsidRPr="00FC4688">
        <w:rPr>
          <w:rFonts w:cs="Times New Roman"/>
          <w:szCs w:val="22"/>
        </w:rPr>
        <w:t xml:space="preserve"> seguido</w:t>
      </w:r>
      <w:r w:rsidRPr="00FC4688">
        <w:rPr>
          <w:rFonts w:cs="Times New Roman"/>
          <w:szCs w:val="22"/>
        </w:rPr>
        <w:t xml:space="preserve"> </w:t>
      </w:r>
      <w:r w:rsidR="006941FC" w:rsidRPr="00FC4688">
        <w:rPr>
          <w:rFonts w:cs="Times New Roman"/>
          <w:szCs w:val="22"/>
        </w:rPr>
        <w:t>de la inversión en maquinaria</w:t>
      </w:r>
      <w:r w:rsidRPr="00FC4688">
        <w:rPr>
          <w:rFonts w:cs="Times New Roman"/>
          <w:szCs w:val="22"/>
        </w:rPr>
        <w:t xml:space="preserve"> y equipo </w:t>
      </w:r>
      <w:r w:rsidR="006941FC" w:rsidRPr="00FC4688">
        <w:rPr>
          <w:rFonts w:cs="Times New Roman"/>
          <w:szCs w:val="22"/>
        </w:rPr>
        <w:t xml:space="preserve">por </w:t>
      </w:r>
      <w:r w:rsidRPr="00FC4688">
        <w:rPr>
          <w:rFonts w:cs="Times New Roman"/>
          <w:szCs w:val="22"/>
        </w:rPr>
        <w:t>Q554.5 millones.</w:t>
      </w:r>
    </w:p>
    <w:p w14:paraId="60675D19" w14:textId="16A352C7" w:rsidR="00A90ED3" w:rsidRPr="00FC4688" w:rsidRDefault="00A90ED3" w:rsidP="00CD34D6">
      <w:pPr>
        <w:rPr>
          <w:rFonts w:cs="Times New Roman"/>
          <w:szCs w:val="22"/>
        </w:rPr>
      </w:pPr>
      <w:r w:rsidRPr="00FC4688">
        <w:rPr>
          <w:rFonts w:cs="Times New Roman"/>
          <w:noProof/>
          <w:szCs w:val="22"/>
          <w:lang w:eastAsia="es-GT"/>
        </w:rPr>
        <w:drawing>
          <wp:inline distT="0" distB="0" distL="0" distR="0" wp14:anchorId="12AB5EFB" wp14:editId="0A683613">
            <wp:extent cx="6011839" cy="1678305"/>
            <wp:effectExtent l="0" t="0" r="8255" b="0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2ADD9C0" w14:textId="77777777" w:rsidR="00B435E7" w:rsidRPr="00FC4688" w:rsidRDefault="001D54E4" w:rsidP="007B2224">
      <w:pPr>
        <w:pStyle w:val="Prrafodelista"/>
        <w:numPr>
          <w:ilvl w:val="0"/>
          <w:numId w:val="1"/>
        </w:numPr>
        <w:ind w:left="426" w:hanging="426"/>
        <w:outlineLvl w:val="0"/>
        <w:rPr>
          <w:rFonts w:cs="Times New Roman"/>
          <w:b/>
          <w:sz w:val="24"/>
          <w:lang w:val="es-MX"/>
        </w:rPr>
      </w:pPr>
      <w:bookmarkStart w:id="600" w:name="_Toc42023966"/>
      <w:bookmarkStart w:id="601" w:name="_Toc42024017"/>
      <w:bookmarkStart w:id="602" w:name="_Toc42023967"/>
      <w:bookmarkStart w:id="603" w:name="_Toc42024018"/>
      <w:bookmarkStart w:id="604" w:name="_Toc117781286"/>
      <w:bookmarkEnd w:id="600"/>
      <w:bookmarkEnd w:id="601"/>
      <w:bookmarkEnd w:id="602"/>
      <w:bookmarkEnd w:id="603"/>
      <w:r w:rsidRPr="00FC4688">
        <w:rPr>
          <w:rFonts w:cs="Times New Roman"/>
          <w:b/>
          <w:sz w:val="24"/>
          <w:lang w:val="es-MX"/>
        </w:rPr>
        <w:lastRenderedPageBreak/>
        <w:t>Financiamiento</w:t>
      </w:r>
      <w:bookmarkEnd w:id="604"/>
    </w:p>
    <w:p w14:paraId="5287581E" w14:textId="77777777" w:rsidR="000F19C1" w:rsidRPr="00FC4688" w:rsidRDefault="000F19C1" w:rsidP="000F19C1">
      <w:pPr>
        <w:pStyle w:val="Prrafodelista"/>
        <w:keepNext/>
        <w:keepLines/>
        <w:numPr>
          <w:ilvl w:val="0"/>
          <w:numId w:val="12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605" w:name="_Toc55374005"/>
      <w:bookmarkStart w:id="606" w:name="_Toc55375142"/>
      <w:bookmarkStart w:id="607" w:name="_Toc55396550"/>
      <w:bookmarkStart w:id="608" w:name="_Toc65230547"/>
      <w:bookmarkStart w:id="609" w:name="_Toc65230785"/>
      <w:bookmarkStart w:id="610" w:name="_Toc65232069"/>
      <w:bookmarkStart w:id="611" w:name="_Toc65232314"/>
      <w:bookmarkStart w:id="612" w:name="_Toc66716173"/>
      <w:bookmarkStart w:id="613" w:name="_Toc71097217"/>
      <w:bookmarkStart w:id="614" w:name="_Toc71097248"/>
      <w:bookmarkStart w:id="615" w:name="_Toc71097323"/>
      <w:bookmarkStart w:id="616" w:name="_Toc71108063"/>
      <w:bookmarkStart w:id="617" w:name="_Toc79055257"/>
      <w:bookmarkStart w:id="618" w:name="_Toc79055288"/>
      <w:bookmarkStart w:id="619" w:name="_Toc79060179"/>
      <w:bookmarkStart w:id="620" w:name="_Toc79060466"/>
      <w:bookmarkStart w:id="621" w:name="_Toc81307823"/>
      <w:bookmarkStart w:id="622" w:name="_Toc83376484"/>
      <w:bookmarkStart w:id="623" w:name="_Toc86386723"/>
      <w:bookmarkStart w:id="624" w:name="_Toc86405409"/>
      <w:bookmarkStart w:id="625" w:name="_Toc98162439"/>
      <w:bookmarkStart w:id="626" w:name="_Toc98162471"/>
      <w:bookmarkStart w:id="627" w:name="_Toc98234997"/>
      <w:bookmarkStart w:id="628" w:name="_Toc98235192"/>
      <w:bookmarkStart w:id="629" w:name="_Toc98235277"/>
      <w:bookmarkStart w:id="630" w:name="_Toc98757147"/>
      <w:bookmarkStart w:id="631" w:name="_Toc101874702"/>
      <w:bookmarkStart w:id="632" w:name="_Toc101954158"/>
      <w:bookmarkStart w:id="633" w:name="_Toc101971975"/>
      <w:bookmarkStart w:id="634" w:name="_Toc101974067"/>
      <w:bookmarkStart w:id="635" w:name="_Toc102039752"/>
      <w:bookmarkStart w:id="636" w:name="_Toc102039790"/>
      <w:bookmarkStart w:id="637" w:name="_Toc102039830"/>
      <w:bookmarkStart w:id="638" w:name="_Toc102039861"/>
      <w:bookmarkStart w:id="639" w:name="_Toc102040919"/>
      <w:bookmarkStart w:id="640" w:name="_Toc102477767"/>
      <w:bookmarkStart w:id="641" w:name="_Toc102477798"/>
      <w:bookmarkStart w:id="642" w:name="_Toc109824828"/>
      <w:bookmarkStart w:id="643" w:name="_Toc109828784"/>
      <w:bookmarkStart w:id="644" w:name="_Toc109828847"/>
      <w:bookmarkStart w:id="645" w:name="_Toc109829023"/>
      <w:bookmarkStart w:id="646" w:name="_Toc109829054"/>
      <w:bookmarkStart w:id="647" w:name="_Toc109833898"/>
      <w:bookmarkStart w:id="648" w:name="_Toc110237441"/>
      <w:bookmarkStart w:id="649" w:name="_Toc117775318"/>
      <w:bookmarkStart w:id="650" w:name="_Toc117781287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</w:p>
    <w:p w14:paraId="52D94915" w14:textId="7CCD5AD0" w:rsidR="00E44C78" w:rsidRPr="00FC4688" w:rsidRDefault="00174CC9" w:rsidP="00E44C78">
      <w:pPr>
        <w:pStyle w:val="Ttulo2"/>
        <w:numPr>
          <w:ilvl w:val="1"/>
          <w:numId w:val="12"/>
        </w:numPr>
        <w:tabs>
          <w:tab w:val="left" w:pos="426"/>
        </w:tabs>
        <w:spacing w:before="0"/>
        <w:rPr>
          <w:rFonts w:ascii="Times New Roman" w:hAnsi="Times New Roman" w:cs="Times New Roman"/>
          <w:color w:val="auto"/>
          <w:sz w:val="24"/>
        </w:rPr>
      </w:pPr>
      <w:bookmarkStart w:id="651" w:name="_Toc117781288"/>
      <w:r w:rsidRPr="00FC4688">
        <w:rPr>
          <w:rFonts w:ascii="Times New Roman" w:hAnsi="Times New Roman" w:cs="Times New Roman"/>
          <w:color w:val="auto"/>
          <w:sz w:val="24"/>
        </w:rPr>
        <w:t>Aumentaron los activos financieros</w:t>
      </w:r>
      <w:r w:rsidR="008773A4" w:rsidRPr="00FC4688">
        <w:rPr>
          <w:rFonts w:ascii="Times New Roman" w:hAnsi="Times New Roman" w:cs="Times New Roman"/>
          <w:color w:val="auto"/>
          <w:sz w:val="24"/>
        </w:rPr>
        <w:t>.</w:t>
      </w:r>
      <w:bookmarkEnd w:id="651"/>
    </w:p>
    <w:p w14:paraId="626663FB" w14:textId="3025E52A" w:rsidR="006D1A13" w:rsidRPr="00FC4688" w:rsidRDefault="000E0D12" w:rsidP="00F46ECF">
      <w:r w:rsidRPr="00FC4688">
        <w:t>A septiembre</w:t>
      </w:r>
      <w:r w:rsidR="00E645B0" w:rsidRPr="00FC4688">
        <w:t>,</w:t>
      </w:r>
      <w:r w:rsidRPr="00FC4688">
        <w:t xml:space="preserve"> se observa que </w:t>
      </w:r>
      <w:r w:rsidR="00E645B0" w:rsidRPr="00FC4688">
        <w:t>los activos financieros</w:t>
      </w:r>
      <w:r w:rsidR="00AE01B4" w:rsidRPr="00FC4688">
        <w:t xml:space="preserve"> </w:t>
      </w:r>
      <w:r w:rsidR="00B00DF5" w:rsidRPr="00FC4688">
        <w:t>se han incrementado</w:t>
      </w:r>
      <w:r w:rsidR="00AE01B4" w:rsidRPr="00FC4688">
        <w:t xml:space="preserve"> en </w:t>
      </w:r>
      <w:r w:rsidR="00170F9B" w:rsidRPr="00FC4688">
        <w:t>Q</w:t>
      </w:r>
      <w:r w:rsidR="00D70005" w:rsidRPr="00FC4688">
        <w:t>3</w:t>
      </w:r>
      <w:r w:rsidR="001D17CB" w:rsidRPr="00FC4688">
        <w:t>,</w:t>
      </w:r>
      <w:r w:rsidR="00D70005" w:rsidRPr="00FC4688">
        <w:t>450.</w:t>
      </w:r>
      <w:r w:rsidR="0040617B" w:rsidRPr="00FC4688">
        <w:t>4</w:t>
      </w:r>
      <w:r w:rsidR="001D17CB" w:rsidRPr="00FC4688">
        <w:t xml:space="preserve"> </w:t>
      </w:r>
      <w:r w:rsidR="003227AE" w:rsidRPr="00FC4688">
        <w:t>millones</w:t>
      </w:r>
      <w:r w:rsidR="00B00DF5" w:rsidRPr="00FC4688">
        <w:t>,</w:t>
      </w:r>
      <w:r w:rsidR="008F4E18" w:rsidRPr="00FC4688">
        <w:t xml:space="preserve"> </w:t>
      </w:r>
      <w:r w:rsidR="007060FE" w:rsidRPr="00FC4688">
        <w:t>de</w:t>
      </w:r>
      <w:r w:rsidR="008F4E18" w:rsidRPr="00FC4688">
        <w:t xml:space="preserve"> los cuales </w:t>
      </w:r>
      <w:r w:rsidR="003C7A27" w:rsidRPr="00FC4688">
        <w:t>la cuenta de</w:t>
      </w:r>
      <w:r w:rsidR="00F84CBD" w:rsidRPr="00FC4688">
        <w:t xml:space="preserve"> billetes, monedas y depósitos</w:t>
      </w:r>
      <w:r w:rsidR="00E77BB2" w:rsidRPr="00FC4688">
        <w:t xml:space="preserve"> (caja y bancos)</w:t>
      </w:r>
      <w:r w:rsidR="00F84CBD" w:rsidRPr="00FC4688">
        <w:t xml:space="preserve"> </w:t>
      </w:r>
      <w:r w:rsidR="003C7A27" w:rsidRPr="00FC4688">
        <w:t xml:space="preserve">aumentó </w:t>
      </w:r>
      <w:r w:rsidR="003A41E2" w:rsidRPr="00FC4688">
        <w:t>en Q</w:t>
      </w:r>
      <w:r w:rsidR="003C7A27" w:rsidRPr="00FC4688">
        <w:t>3</w:t>
      </w:r>
      <w:r w:rsidR="00D8765A" w:rsidRPr="00FC4688">
        <w:t>,</w:t>
      </w:r>
      <w:r w:rsidR="003C7A27" w:rsidRPr="00FC4688">
        <w:t>474.</w:t>
      </w:r>
      <w:r w:rsidR="00A53988" w:rsidRPr="00FC4688">
        <w:t>3</w:t>
      </w:r>
      <w:r w:rsidR="00D8765A" w:rsidRPr="00FC4688">
        <w:t xml:space="preserve"> </w:t>
      </w:r>
      <w:r w:rsidR="00E77BB2" w:rsidRPr="00FC4688">
        <w:t xml:space="preserve">millones </w:t>
      </w:r>
      <w:r w:rsidR="00494D2D" w:rsidRPr="00FC4688">
        <w:t>mient</w:t>
      </w:r>
      <w:r w:rsidR="00B00DF5" w:rsidRPr="00FC4688">
        <w:t>r</w:t>
      </w:r>
      <w:r w:rsidR="00494D2D" w:rsidRPr="00FC4688">
        <w:t>as que en los pr</w:t>
      </w:r>
      <w:r w:rsidR="009347C4" w:rsidRPr="00FC4688">
        <w:t>é</w:t>
      </w:r>
      <w:r w:rsidR="00494D2D" w:rsidRPr="00FC4688">
        <w:t xml:space="preserve">stamos hubo una diminución de Q23.9 </w:t>
      </w:r>
      <w:r w:rsidR="00D8765A" w:rsidRPr="00FC4688">
        <w:t>millones.</w:t>
      </w:r>
    </w:p>
    <w:p w14:paraId="79FDDCFC" w14:textId="77777777" w:rsidR="00E44C78" w:rsidRPr="00FC4688" w:rsidRDefault="00E44C78" w:rsidP="00F46ECF"/>
    <w:p w14:paraId="0D166D80" w14:textId="00205735" w:rsidR="00470A42" w:rsidRPr="00FC4688" w:rsidRDefault="00470A42" w:rsidP="001A4D7B">
      <w:pPr>
        <w:jc w:val="center"/>
        <w:rPr>
          <w:b/>
          <w:bCs/>
        </w:rPr>
      </w:pPr>
      <w:r w:rsidRPr="00FC4688">
        <w:rPr>
          <w:b/>
          <w:bCs/>
        </w:rPr>
        <w:t xml:space="preserve">Incurrimiento neto de </w:t>
      </w:r>
      <w:r w:rsidR="00512290" w:rsidRPr="00FC4688">
        <w:rPr>
          <w:b/>
          <w:bCs/>
        </w:rPr>
        <w:t>activos financieros</w:t>
      </w:r>
      <w:r w:rsidRPr="00FC4688">
        <w:rPr>
          <w:b/>
          <w:bCs/>
        </w:rPr>
        <w:t xml:space="preserve"> </w:t>
      </w:r>
      <w:r w:rsidR="00FD7002" w:rsidRPr="00FC4688">
        <w:rPr>
          <w:b/>
          <w:bCs/>
        </w:rPr>
        <w:t xml:space="preserve">a </w:t>
      </w:r>
      <w:r w:rsidR="00F46BC6" w:rsidRPr="00FC4688">
        <w:rPr>
          <w:b/>
          <w:bCs/>
        </w:rPr>
        <w:t>septiembre</w:t>
      </w:r>
      <w:r w:rsidR="00FD7002" w:rsidRPr="00FC4688">
        <w:rPr>
          <w:b/>
          <w:bCs/>
        </w:rPr>
        <w:t xml:space="preserve"> de </w:t>
      </w:r>
      <w:r w:rsidR="00ED71F1" w:rsidRPr="00FC4688">
        <w:rPr>
          <w:b/>
          <w:bCs/>
        </w:rPr>
        <w:t>202</w:t>
      </w:r>
      <w:r w:rsidR="00BF1308" w:rsidRPr="00FC4688">
        <w:rPr>
          <w:b/>
          <w:bCs/>
        </w:rPr>
        <w:t>2</w:t>
      </w:r>
      <w:r w:rsidRPr="00FC4688">
        <w:rPr>
          <w:b/>
          <w:bCs/>
        </w:rPr>
        <w:t>*</w:t>
      </w:r>
    </w:p>
    <w:p w14:paraId="30738EC2" w14:textId="77777777" w:rsidR="00470A42" w:rsidRPr="00FC4688" w:rsidRDefault="00470A42" w:rsidP="006D1A13">
      <w:pPr>
        <w:jc w:val="center"/>
      </w:pPr>
      <w:r w:rsidRPr="00FC4688">
        <w:rPr>
          <w:sz w:val="20"/>
          <w:szCs w:val="22"/>
        </w:rPr>
        <w:t xml:space="preserve">En millones de </w:t>
      </w:r>
      <w:r w:rsidR="003D1F3C" w:rsidRPr="00FC4688">
        <w:rPr>
          <w:sz w:val="20"/>
          <w:szCs w:val="22"/>
        </w:rPr>
        <w:t>q</w:t>
      </w:r>
      <w:r w:rsidRPr="00FC4688">
        <w:rPr>
          <w:sz w:val="20"/>
          <w:szCs w:val="22"/>
        </w:rPr>
        <w:t>uetzales</w:t>
      </w:r>
      <w:r w:rsidR="003D1F3C" w:rsidRPr="00FC4688">
        <w:rPr>
          <w:sz w:val="20"/>
          <w:szCs w:val="22"/>
        </w:rPr>
        <w:t xml:space="preserve"> y porcentajes</w:t>
      </w:r>
    </w:p>
    <w:p w14:paraId="5C387859" w14:textId="77777777" w:rsidR="00731535" w:rsidRPr="00FC4688" w:rsidRDefault="00731535" w:rsidP="006D1A13">
      <w:pPr>
        <w:jc w:val="center"/>
      </w:pPr>
      <w:r w:rsidRPr="00FC4688">
        <w:rPr>
          <w:b/>
          <w:bCs/>
          <w:noProof/>
          <w:lang w:eastAsia="es-GT"/>
        </w:rPr>
        <w:drawing>
          <wp:inline distT="0" distB="0" distL="0" distR="0" wp14:anchorId="6005C3D5" wp14:editId="2C6318D1">
            <wp:extent cx="3267075" cy="2429691"/>
            <wp:effectExtent l="0" t="0" r="0" b="8890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FC3031" w:rsidRPr="00FC4688">
        <w:rPr>
          <w:noProof/>
          <w:lang w:eastAsia="es-GT"/>
        </w:rPr>
        <w:drawing>
          <wp:inline distT="0" distB="0" distL="0" distR="0" wp14:anchorId="4B6F4942" wp14:editId="65870D0B">
            <wp:extent cx="2562225" cy="2611526"/>
            <wp:effectExtent l="0" t="0" r="0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7D6DE04B" w14:textId="77777777" w:rsidR="001E71BF" w:rsidRPr="00FC4688" w:rsidRDefault="001E71BF" w:rsidP="001E71BF">
      <w:pPr>
        <w:rPr>
          <w:rFonts w:cs="Times New Roman"/>
          <w:sz w:val="16"/>
          <w:szCs w:val="22"/>
          <w:lang w:val="es-MX"/>
        </w:rPr>
      </w:pPr>
      <w:r w:rsidRPr="00FC4688">
        <w:rPr>
          <w:rFonts w:cs="Times New Roman"/>
          <w:sz w:val="16"/>
          <w:szCs w:val="22"/>
          <w:lang w:val="es-MX"/>
        </w:rPr>
        <w:t>*Cifras preliminares</w:t>
      </w:r>
    </w:p>
    <w:p w14:paraId="7B42A803" w14:textId="77777777" w:rsidR="001E71BF" w:rsidRPr="00FC4688" w:rsidRDefault="001E71BF" w:rsidP="001E71BF">
      <w:pPr>
        <w:rPr>
          <w:rFonts w:cs="Times New Roman"/>
          <w:sz w:val="16"/>
          <w:szCs w:val="22"/>
          <w:lang w:val="es-MX"/>
        </w:rPr>
      </w:pPr>
      <w:r w:rsidRPr="00FC4688">
        <w:rPr>
          <w:rFonts w:cs="Times New Roman"/>
          <w:sz w:val="16"/>
          <w:szCs w:val="22"/>
          <w:lang w:val="es-MX"/>
        </w:rPr>
        <w:t>Fuente: MINFIN</w:t>
      </w:r>
    </w:p>
    <w:p w14:paraId="37A69D73" w14:textId="77777777" w:rsidR="00D819A7" w:rsidRPr="00FC4688" w:rsidRDefault="00D819A7" w:rsidP="001E71BF">
      <w:pPr>
        <w:rPr>
          <w:rFonts w:cs="Times New Roman"/>
          <w:sz w:val="16"/>
          <w:szCs w:val="22"/>
          <w:lang w:val="es-MX"/>
        </w:rPr>
      </w:pPr>
    </w:p>
    <w:p w14:paraId="47346437" w14:textId="30B9C385" w:rsidR="003554AC" w:rsidRPr="00FC4688" w:rsidRDefault="005C0A71" w:rsidP="00EB6D9F">
      <w:pPr>
        <w:pStyle w:val="Ttulo2"/>
        <w:numPr>
          <w:ilvl w:val="1"/>
          <w:numId w:val="12"/>
        </w:numPr>
        <w:tabs>
          <w:tab w:val="left" w:pos="426"/>
        </w:tabs>
        <w:spacing w:before="0"/>
        <w:ind w:left="284" w:hanging="284"/>
        <w:rPr>
          <w:rFonts w:ascii="Times New Roman" w:hAnsi="Times New Roman" w:cs="Times New Roman"/>
          <w:color w:val="auto"/>
          <w:sz w:val="24"/>
        </w:rPr>
      </w:pPr>
      <w:bookmarkStart w:id="652" w:name="_Toc117781289"/>
      <w:r w:rsidRPr="00FC4688">
        <w:rPr>
          <w:rFonts w:ascii="Times New Roman" w:hAnsi="Times New Roman" w:cs="Times New Roman"/>
          <w:color w:val="auto"/>
          <w:sz w:val="24"/>
        </w:rPr>
        <w:t>Se incrementaron</w:t>
      </w:r>
      <w:r w:rsidR="00A154AE" w:rsidRPr="00FC4688">
        <w:rPr>
          <w:rFonts w:ascii="Times New Roman" w:hAnsi="Times New Roman" w:cs="Times New Roman"/>
          <w:color w:val="auto"/>
          <w:sz w:val="24"/>
        </w:rPr>
        <w:t xml:space="preserve"> los pasivos</w:t>
      </w:r>
      <w:bookmarkEnd w:id="652"/>
    </w:p>
    <w:p w14:paraId="4450334F" w14:textId="062C6577" w:rsidR="00996BD9" w:rsidRPr="00FC4688" w:rsidRDefault="0040700A" w:rsidP="00122F2F">
      <w:r w:rsidRPr="00FC4688">
        <w:t>En cuanto a las transacciones en los pasivos,</w:t>
      </w:r>
      <w:r w:rsidR="00C32014" w:rsidRPr="00FC4688">
        <w:t xml:space="preserve"> </w:t>
      </w:r>
      <w:r w:rsidRPr="00FC4688">
        <w:t xml:space="preserve">al finalizar el tercer trimestre se observa que estos se incrementaron </w:t>
      </w:r>
      <w:r w:rsidR="001C353B" w:rsidRPr="00FC4688">
        <w:t>a</w:t>
      </w:r>
      <w:r w:rsidRPr="00FC4688">
        <w:t xml:space="preserve"> </w:t>
      </w:r>
      <w:r w:rsidR="00C32014" w:rsidRPr="00FC4688">
        <w:t>Q</w:t>
      </w:r>
      <w:r w:rsidRPr="00FC4688">
        <w:t>9</w:t>
      </w:r>
      <w:r w:rsidR="006A3F08" w:rsidRPr="00FC4688">
        <w:t>,</w:t>
      </w:r>
      <w:r w:rsidRPr="00FC4688">
        <w:t>181</w:t>
      </w:r>
      <w:r w:rsidR="006A3F08" w:rsidRPr="00FC4688">
        <w:t>.2</w:t>
      </w:r>
      <w:r w:rsidR="00F2485E" w:rsidRPr="00FC4688">
        <w:t xml:space="preserve"> millones</w:t>
      </w:r>
      <w:r w:rsidRPr="00FC4688">
        <w:t xml:space="preserve">. </w:t>
      </w:r>
      <w:r w:rsidR="006A3F08" w:rsidRPr="00FC4688">
        <w:t xml:space="preserve"> </w:t>
      </w:r>
      <w:r w:rsidRPr="00FC4688">
        <w:t xml:space="preserve">El instrumento con el mayor incremento </w:t>
      </w:r>
      <w:r w:rsidR="00DF424C" w:rsidRPr="00FC4688">
        <w:t xml:space="preserve">durante el </w:t>
      </w:r>
      <w:r w:rsidR="009833BD" w:rsidRPr="00FC4688">
        <w:t>año ha</w:t>
      </w:r>
      <w:r w:rsidR="00DF424C" w:rsidRPr="00FC4688">
        <w:t xml:space="preserve"> sido </w:t>
      </w:r>
      <w:r w:rsidR="007C0382" w:rsidRPr="00FC4688">
        <w:t>el uso</w:t>
      </w:r>
      <w:r w:rsidR="006A3F08" w:rsidRPr="00FC4688">
        <w:t xml:space="preserve"> </w:t>
      </w:r>
      <w:r w:rsidR="002C354E" w:rsidRPr="00FC4688">
        <w:t xml:space="preserve">de </w:t>
      </w:r>
      <w:r w:rsidR="00A26212" w:rsidRPr="00FC4688">
        <w:t>títulos de deuda</w:t>
      </w:r>
      <w:r w:rsidR="00055925" w:rsidRPr="00FC4688">
        <w:t>,</w:t>
      </w:r>
      <w:r w:rsidR="005A1B38" w:rsidRPr="00FC4688">
        <w:t xml:space="preserve"> </w:t>
      </w:r>
      <w:r w:rsidR="00C43DB3" w:rsidRPr="00FC4688">
        <w:t xml:space="preserve">que ascienden a </w:t>
      </w:r>
      <w:r w:rsidR="006A3F08" w:rsidRPr="00FC4688">
        <w:t>Q</w:t>
      </w:r>
      <w:r w:rsidR="00C43DB3" w:rsidRPr="00FC4688">
        <w:t xml:space="preserve">6,838.7 </w:t>
      </w:r>
      <w:r w:rsidR="006A3F08" w:rsidRPr="00FC4688">
        <w:t>millones</w:t>
      </w:r>
      <w:r w:rsidR="007D0E23" w:rsidRPr="00FC4688">
        <w:t>,</w:t>
      </w:r>
      <w:r w:rsidR="00CF1242" w:rsidRPr="00FC4688">
        <w:t xml:space="preserve"> seguido de </w:t>
      </w:r>
      <w:r w:rsidR="00D401E0" w:rsidRPr="00FC4688">
        <w:t xml:space="preserve">los </w:t>
      </w:r>
      <w:r w:rsidR="00CF1242" w:rsidRPr="00FC4688">
        <w:t xml:space="preserve">préstamos que </w:t>
      </w:r>
      <w:r w:rsidR="00D65E22" w:rsidRPr="00FC4688">
        <w:t xml:space="preserve">se han incrementado </w:t>
      </w:r>
      <w:r w:rsidR="001C353B" w:rsidRPr="00FC4688">
        <w:t>a</w:t>
      </w:r>
      <w:r w:rsidR="00CF1242" w:rsidRPr="00FC4688">
        <w:t xml:space="preserve"> Q2,296.0 millones</w:t>
      </w:r>
      <w:r w:rsidR="0073345B" w:rsidRPr="00FC4688">
        <w:t>,</w:t>
      </w:r>
      <w:r w:rsidR="00D65E22" w:rsidRPr="00FC4688">
        <w:t xml:space="preserve"> mientras que las otras cuentas por pagar </w:t>
      </w:r>
      <w:r w:rsidR="007C0382" w:rsidRPr="00FC4688">
        <w:t>ascienden a</w:t>
      </w:r>
      <w:r w:rsidR="00700C8C" w:rsidRPr="00FC4688">
        <w:t xml:space="preserve"> Q46.6 millones.</w:t>
      </w:r>
    </w:p>
    <w:p w14:paraId="5457DA79" w14:textId="77777777" w:rsidR="00B30207" w:rsidRPr="00FC4688" w:rsidRDefault="00B30207" w:rsidP="00122F2F"/>
    <w:tbl>
      <w:tblPr>
        <w:tblStyle w:val="Tablaconcuadrcula"/>
        <w:tblW w:w="93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50"/>
        <w:gridCol w:w="3746"/>
      </w:tblGrid>
      <w:tr w:rsidR="0061446B" w:rsidRPr="00FC4688" w14:paraId="170F85A0" w14:textId="77777777" w:rsidTr="00B30207">
        <w:trPr>
          <w:trHeight w:val="11"/>
          <w:jc w:val="center"/>
        </w:trPr>
        <w:tc>
          <w:tcPr>
            <w:tcW w:w="9396" w:type="dxa"/>
            <w:gridSpan w:val="2"/>
          </w:tcPr>
          <w:p w14:paraId="53CD2781" w14:textId="7E0D2ED3" w:rsidR="0061446B" w:rsidRPr="00FC4688" w:rsidRDefault="0061446B" w:rsidP="00E34A48">
            <w:pPr>
              <w:jc w:val="center"/>
              <w:rPr>
                <w:b/>
                <w:bCs/>
              </w:rPr>
            </w:pPr>
            <w:r w:rsidRPr="00FC4688">
              <w:rPr>
                <w:b/>
                <w:bCs/>
              </w:rPr>
              <w:t>Incurrimiento neto de pasivos</w:t>
            </w:r>
            <w:r w:rsidR="009D176B" w:rsidRPr="00FC4688">
              <w:rPr>
                <w:b/>
                <w:bCs/>
              </w:rPr>
              <w:t xml:space="preserve"> </w:t>
            </w:r>
            <w:r w:rsidR="00B435E7" w:rsidRPr="00FC4688">
              <w:rPr>
                <w:b/>
                <w:bCs/>
              </w:rPr>
              <w:t xml:space="preserve">a </w:t>
            </w:r>
            <w:r w:rsidR="006D56A5" w:rsidRPr="00FC4688">
              <w:rPr>
                <w:b/>
                <w:bCs/>
              </w:rPr>
              <w:t>septiembre</w:t>
            </w:r>
            <w:r w:rsidR="00B435E7" w:rsidRPr="00FC4688">
              <w:rPr>
                <w:b/>
                <w:bCs/>
              </w:rPr>
              <w:t xml:space="preserve"> de </w:t>
            </w:r>
            <w:r w:rsidR="009D176B" w:rsidRPr="00FC4688">
              <w:rPr>
                <w:b/>
                <w:bCs/>
              </w:rPr>
              <w:t>202</w:t>
            </w:r>
            <w:r w:rsidR="00BF1308" w:rsidRPr="00FC4688">
              <w:rPr>
                <w:b/>
                <w:bCs/>
              </w:rPr>
              <w:t>2</w:t>
            </w:r>
            <w:r w:rsidR="009D176B" w:rsidRPr="00FC4688">
              <w:rPr>
                <w:b/>
                <w:bCs/>
              </w:rPr>
              <w:t>*</w:t>
            </w:r>
          </w:p>
          <w:p w14:paraId="0071567C" w14:textId="028E652F" w:rsidR="0061446B" w:rsidRPr="00FC4688" w:rsidRDefault="0061446B" w:rsidP="00E34A48">
            <w:pPr>
              <w:jc w:val="center"/>
            </w:pPr>
            <w:r w:rsidRPr="00FC4688">
              <w:rPr>
                <w:sz w:val="20"/>
                <w:szCs w:val="22"/>
              </w:rPr>
              <w:t xml:space="preserve">En </w:t>
            </w:r>
            <w:r w:rsidR="006535F3" w:rsidRPr="00FC4688">
              <w:rPr>
                <w:sz w:val="20"/>
                <w:szCs w:val="22"/>
              </w:rPr>
              <w:t>millones</w:t>
            </w:r>
            <w:r w:rsidRPr="00FC4688">
              <w:rPr>
                <w:sz w:val="20"/>
                <w:szCs w:val="22"/>
              </w:rPr>
              <w:t xml:space="preserve"> de Quetzales</w:t>
            </w:r>
          </w:p>
        </w:tc>
      </w:tr>
      <w:tr w:rsidR="00D36792" w:rsidRPr="00FC4688" w14:paraId="2690E1D3" w14:textId="77777777" w:rsidTr="00B30207">
        <w:trPr>
          <w:trHeight w:val="157"/>
          <w:jc w:val="center"/>
        </w:trPr>
        <w:tc>
          <w:tcPr>
            <w:tcW w:w="5650" w:type="dxa"/>
            <w:shd w:val="clear" w:color="auto" w:fill="auto"/>
          </w:tcPr>
          <w:p w14:paraId="38032EE6" w14:textId="1BE28639" w:rsidR="00F674B9" w:rsidRPr="00FC4688" w:rsidRDefault="00CC6304" w:rsidP="00E34A48">
            <w:r w:rsidRPr="00FC4688">
              <w:rPr>
                <w:noProof/>
                <w:lang w:eastAsia="es-GT"/>
              </w:rPr>
              <w:drawing>
                <wp:anchor distT="0" distB="0" distL="114300" distR="114300" simplePos="0" relativeHeight="251669508" behindDoc="0" locked="0" layoutInCell="1" allowOverlap="1" wp14:anchorId="74CD0102" wp14:editId="3421924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31750</wp:posOffset>
                  </wp:positionV>
                  <wp:extent cx="3600450" cy="2274570"/>
                  <wp:effectExtent l="0" t="0" r="0" b="0"/>
                  <wp:wrapSquare wrapText="bothSides"/>
                  <wp:docPr id="10" name="Gráfico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45" w:type="dxa"/>
          </w:tcPr>
          <w:p w14:paraId="6D2B05F8" w14:textId="77777777" w:rsidR="00F674B9" w:rsidRPr="00FC4688" w:rsidRDefault="00311363" w:rsidP="00814951">
            <w:pPr>
              <w:ind w:right="-183"/>
            </w:pPr>
            <w:r w:rsidRPr="00FC4688">
              <w:rPr>
                <w:noProof/>
                <w:lang w:eastAsia="es-GT"/>
              </w:rPr>
              <w:drawing>
                <wp:inline distT="0" distB="0" distL="0" distR="0" wp14:anchorId="10A80184" wp14:editId="40EAACD8">
                  <wp:extent cx="2279015" cy="2239736"/>
                  <wp:effectExtent l="0" t="0" r="6985" b="8255"/>
                  <wp:docPr id="19" name="Gráfico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</w:tr>
    </w:tbl>
    <w:p w14:paraId="1F341054" w14:textId="2EA0C79E" w:rsidR="00F4077C" w:rsidRPr="00FC4688" w:rsidRDefault="00F4077C" w:rsidP="00C34A03">
      <w:pPr>
        <w:pStyle w:val="Prrafodelista"/>
        <w:numPr>
          <w:ilvl w:val="0"/>
          <w:numId w:val="1"/>
        </w:numPr>
        <w:ind w:left="426" w:hanging="426"/>
        <w:outlineLvl w:val="0"/>
        <w:rPr>
          <w:rFonts w:eastAsiaTheme="majorEastAsia" w:cs="Times New Roman"/>
          <w:b/>
          <w:bCs/>
          <w:sz w:val="24"/>
          <w:szCs w:val="26"/>
          <w:lang w:val="es-ES_tradnl" w:eastAsia="es-ES"/>
        </w:rPr>
      </w:pPr>
      <w:bookmarkStart w:id="653" w:name="_Toc42023970"/>
      <w:bookmarkStart w:id="654" w:name="_Toc42024021"/>
      <w:bookmarkStart w:id="655" w:name="_Toc42023971"/>
      <w:bookmarkStart w:id="656" w:name="_Toc42024022"/>
      <w:bookmarkStart w:id="657" w:name="_Toc42023972"/>
      <w:bookmarkStart w:id="658" w:name="_Toc42024023"/>
      <w:bookmarkStart w:id="659" w:name="_Toc42023973"/>
      <w:bookmarkStart w:id="660" w:name="_Toc42024024"/>
      <w:bookmarkStart w:id="661" w:name="_Toc117781290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r w:rsidRPr="00FC4688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lastRenderedPageBreak/>
        <w:t>Erogaciones</w:t>
      </w:r>
      <w:r w:rsidR="00B50E45" w:rsidRPr="00FC4688">
        <w:rPr>
          <w:rFonts w:eastAsiaTheme="majorEastAsia" w:cs="Times New Roman"/>
          <w:b/>
          <w:bCs/>
          <w:sz w:val="24"/>
          <w:szCs w:val="26"/>
          <w:lang w:val="es-ES_tradnl" w:eastAsia="es-ES"/>
        </w:rPr>
        <w:t xml:space="preserve"> del Gobierno Central Presupuestario</w:t>
      </w:r>
      <w:bookmarkEnd w:id="661"/>
    </w:p>
    <w:p w14:paraId="2B633498" w14:textId="77777777" w:rsidR="007A76CD" w:rsidRPr="00FC4688" w:rsidRDefault="007A76CD" w:rsidP="00594050">
      <w:pPr>
        <w:rPr>
          <w:rFonts w:cs="Times New Roman"/>
        </w:rPr>
      </w:pPr>
      <w:r w:rsidRPr="00FC4688">
        <w:rPr>
          <w:rFonts w:eastAsiaTheme="majorEastAsia"/>
          <w:noProof/>
          <w:lang w:eastAsia="es-GT"/>
        </w:rPr>
        <w:drawing>
          <wp:inline distT="0" distB="0" distL="0" distR="0" wp14:anchorId="77325B34" wp14:editId="59961A01">
            <wp:extent cx="5836920" cy="876300"/>
            <wp:effectExtent l="76200" t="38100" r="87630" b="114300"/>
            <wp:docPr id="22" name="Diagrama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14:paraId="17E5690A" w14:textId="77777777" w:rsidR="000F19C1" w:rsidRPr="00FC4688" w:rsidRDefault="000F19C1" w:rsidP="000F19C1">
      <w:pPr>
        <w:pStyle w:val="Prrafodelista"/>
        <w:keepNext/>
        <w:keepLines/>
        <w:numPr>
          <w:ilvl w:val="0"/>
          <w:numId w:val="43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662" w:name="_Toc42023975"/>
      <w:bookmarkStart w:id="663" w:name="_Toc42024026"/>
      <w:bookmarkStart w:id="664" w:name="_Toc42069116"/>
      <w:bookmarkStart w:id="665" w:name="_Toc49422062"/>
      <w:bookmarkStart w:id="666" w:name="_Toc49422088"/>
      <w:bookmarkStart w:id="667" w:name="_Toc49430667"/>
      <w:bookmarkStart w:id="668" w:name="_Toc49430693"/>
      <w:bookmarkStart w:id="669" w:name="_Toc49750470"/>
      <w:bookmarkStart w:id="670" w:name="_Toc49750720"/>
      <w:bookmarkStart w:id="671" w:name="_Toc49750748"/>
      <w:bookmarkStart w:id="672" w:name="_Toc55284834"/>
      <w:bookmarkStart w:id="673" w:name="_Toc55298852"/>
      <w:bookmarkStart w:id="674" w:name="_Toc55373835"/>
      <w:bookmarkStart w:id="675" w:name="_Toc55374009"/>
      <w:bookmarkStart w:id="676" w:name="_Toc55375146"/>
      <w:bookmarkStart w:id="677" w:name="_Toc55396554"/>
      <w:bookmarkStart w:id="678" w:name="_Toc65230551"/>
      <w:bookmarkStart w:id="679" w:name="_Toc65230789"/>
      <w:bookmarkStart w:id="680" w:name="_Toc65232073"/>
      <w:bookmarkStart w:id="681" w:name="_Toc65232318"/>
      <w:bookmarkStart w:id="682" w:name="_Toc66716177"/>
      <w:bookmarkStart w:id="683" w:name="_Toc71097221"/>
      <w:bookmarkStart w:id="684" w:name="_Toc71097252"/>
      <w:bookmarkStart w:id="685" w:name="_Toc71097327"/>
      <w:bookmarkStart w:id="686" w:name="_Toc71108067"/>
      <w:bookmarkStart w:id="687" w:name="_Toc79055261"/>
      <w:bookmarkStart w:id="688" w:name="_Toc79055292"/>
      <w:bookmarkStart w:id="689" w:name="_Toc79060183"/>
      <w:bookmarkStart w:id="690" w:name="_Toc79060470"/>
      <w:bookmarkStart w:id="691" w:name="_Toc81307827"/>
      <w:bookmarkStart w:id="692" w:name="_Toc83376488"/>
      <w:bookmarkStart w:id="693" w:name="_Toc86386727"/>
      <w:bookmarkStart w:id="694" w:name="_Toc86405413"/>
      <w:bookmarkStart w:id="695" w:name="_Toc98162443"/>
      <w:bookmarkStart w:id="696" w:name="_Toc98162475"/>
      <w:bookmarkStart w:id="697" w:name="_Toc98235001"/>
      <w:bookmarkStart w:id="698" w:name="_Toc98235196"/>
      <w:bookmarkStart w:id="699" w:name="_Toc98235281"/>
      <w:bookmarkStart w:id="700" w:name="_Toc98757151"/>
      <w:bookmarkStart w:id="701" w:name="_Toc101874706"/>
      <w:bookmarkStart w:id="702" w:name="_Toc101954162"/>
      <w:bookmarkStart w:id="703" w:name="_Toc101971979"/>
      <w:bookmarkStart w:id="704" w:name="_Toc101974071"/>
      <w:bookmarkStart w:id="705" w:name="_Toc102039756"/>
      <w:bookmarkStart w:id="706" w:name="_Toc102039794"/>
      <w:bookmarkStart w:id="707" w:name="_Toc102039834"/>
      <w:bookmarkStart w:id="708" w:name="_Toc102039865"/>
      <w:bookmarkStart w:id="709" w:name="_Toc102040923"/>
      <w:bookmarkStart w:id="710" w:name="_Toc102477771"/>
      <w:bookmarkStart w:id="711" w:name="_Toc102477802"/>
      <w:bookmarkStart w:id="712" w:name="_Toc109824832"/>
      <w:bookmarkStart w:id="713" w:name="_Toc109828788"/>
      <w:bookmarkStart w:id="714" w:name="_Toc109828851"/>
      <w:bookmarkStart w:id="715" w:name="_Toc109829027"/>
      <w:bookmarkStart w:id="716" w:name="_Toc109829058"/>
      <w:bookmarkStart w:id="717" w:name="_Toc109833902"/>
      <w:bookmarkStart w:id="718" w:name="_Toc110237445"/>
      <w:bookmarkStart w:id="719" w:name="_Toc117775322"/>
      <w:bookmarkStart w:id="720" w:name="_Toc11778129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</w:p>
    <w:p w14:paraId="56FB527D" w14:textId="77777777" w:rsidR="000F19C1" w:rsidRPr="00FC4688" w:rsidRDefault="000F19C1" w:rsidP="000F19C1">
      <w:pPr>
        <w:pStyle w:val="Prrafodelista"/>
        <w:keepNext/>
        <w:keepLines/>
        <w:numPr>
          <w:ilvl w:val="0"/>
          <w:numId w:val="43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721" w:name="_Toc55374010"/>
      <w:bookmarkStart w:id="722" w:name="_Toc55375147"/>
      <w:bookmarkStart w:id="723" w:name="_Toc55396555"/>
      <w:bookmarkStart w:id="724" w:name="_Toc65230552"/>
      <w:bookmarkStart w:id="725" w:name="_Toc65230790"/>
      <w:bookmarkStart w:id="726" w:name="_Toc65232074"/>
      <w:bookmarkStart w:id="727" w:name="_Toc65232319"/>
      <w:bookmarkStart w:id="728" w:name="_Toc66716178"/>
      <w:bookmarkStart w:id="729" w:name="_Toc71097222"/>
      <w:bookmarkStart w:id="730" w:name="_Toc71097253"/>
      <w:bookmarkStart w:id="731" w:name="_Toc71097328"/>
      <w:bookmarkStart w:id="732" w:name="_Toc71108068"/>
      <w:bookmarkStart w:id="733" w:name="_Toc79055262"/>
      <w:bookmarkStart w:id="734" w:name="_Toc79055293"/>
      <w:bookmarkStart w:id="735" w:name="_Toc79060184"/>
      <w:bookmarkStart w:id="736" w:name="_Toc79060471"/>
      <w:bookmarkStart w:id="737" w:name="_Toc81307828"/>
      <w:bookmarkStart w:id="738" w:name="_Toc83376489"/>
      <w:bookmarkStart w:id="739" w:name="_Toc86386728"/>
      <w:bookmarkStart w:id="740" w:name="_Toc86405414"/>
      <w:bookmarkStart w:id="741" w:name="_Toc98162444"/>
      <w:bookmarkStart w:id="742" w:name="_Toc98162476"/>
      <w:bookmarkStart w:id="743" w:name="_Toc98235002"/>
      <w:bookmarkStart w:id="744" w:name="_Toc98235197"/>
      <w:bookmarkStart w:id="745" w:name="_Toc98235282"/>
      <w:bookmarkStart w:id="746" w:name="_Toc98757152"/>
      <w:bookmarkStart w:id="747" w:name="_Toc101874707"/>
      <w:bookmarkStart w:id="748" w:name="_Toc101954163"/>
      <w:bookmarkStart w:id="749" w:name="_Toc101971980"/>
      <w:bookmarkStart w:id="750" w:name="_Toc101974072"/>
      <w:bookmarkStart w:id="751" w:name="_Toc102039757"/>
      <w:bookmarkStart w:id="752" w:name="_Toc102039795"/>
      <w:bookmarkStart w:id="753" w:name="_Toc102039835"/>
      <w:bookmarkStart w:id="754" w:name="_Toc102039866"/>
      <w:bookmarkStart w:id="755" w:name="_Toc102040924"/>
      <w:bookmarkStart w:id="756" w:name="_Toc102477772"/>
      <w:bookmarkStart w:id="757" w:name="_Toc102477803"/>
      <w:bookmarkStart w:id="758" w:name="_Toc109824833"/>
      <w:bookmarkStart w:id="759" w:name="_Toc109828789"/>
      <w:bookmarkStart w:id="760" w:name="_Toc109828852"/>
      <w:bookmarkStart w:id="761" w:name="_Toc109829028"/>
      <w:bookmarkStart w:id="762" w:name="_Toc109829059"/>
      <w:bookmarkStart w:id="763" w:name="_Toc109833903"/>
      <w:bookmarkStart w:id="764" w:name="_Toc110237446"/>
      <w:bookmarkStart w:id="765" w:name="_Toc117775323"/>
      <w:bookmarkStart w:id="766" w:name="_Toc117781292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</w:p>
    <w:p w14:paraId="0298658C" w14:textId="77777777" w:rsidR="000F19C1" w:rsidRPr="00FC4688" w:rsidRDefault="000F19C1" w:rsidP="000F19C1">
      <w:pPr>
        <w:pStyle w:val="Prrafodelista"/>
        <w:keepNext/>
        <w:keepLines/>
        <w:numPr>
          <w:ilvl w:val="0"/>
          <w:numId w:val="43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767" w:name="_Toc55374011"/>
      <w:bookmarkStart w:id="768" w:name="_Toc55375148"/>
      <w:bookmarkStart w:id="769" w:name="_Toc55396556"/>
      <w:bookmarkStart w:id="770" w:name="_Toc65230553"/>
      <w:bookmarkStart w:id="771" w:name="_Toc65230791"/>
      <w:bookmarkStart w:id="772" w:name="_Toc65232075"/>
      <w:bookmarkStart w:id="773" w:name="_Toc65232320"/>
      <w:bookmarkStart w:id="774" w:name="_Toc66716179"/>
      <w:bookmarkStart w:id="775" w:name="_Toc71097223"/>
      <w:bookmarkStart w:id="776" w:name="_Toc71097254"/>
      <w:bookmarkStart w:id="777" w:name="_Toc71097329"/>
      <w:bookmarkStart w:id="778" w:name="_Toc71108069"/>
      <w:bookmarkStart w:id="779" w:name="_Toc79055263"/>
      <w:bookmarkStart w:id="780" w:name="_Toc79055294"/>
      <w:bookmarkStart w:id="781" w:name="_Toc79060185"/>
      <w:bookmarkStart w:id="782" w:name="_Toc79060472"/>
      <w:bookmarkStart w:id="783" w:name="_Toc81307829"/>
      <w:bookmarkStart w:id="784" w:name="_Toc83376490"/>
      <w:bookmarkStart w:id="785" w:name="_Toc86386729"/>
      <w:bookmarkStart w:id="786" w:name="_Toc86405415"/>
      <w:bookmarkStart w:id="787" w:name="_Toc98162445"/>
      <w:bookmarkStart w:id="788" w:name="_Toc98162477"/>
      <w:bookmarkStart w:id="789" w:name="_Toc98235003"/>
      <w:bookmarkStart w:id="790" w:name="_Toc98235198"/>
      <w:bookmarkStart w:id="791" w:name="_Toc98235283"/>
      <w:bookmarkStart w:id="792" w:name="_Toc98757153"/>
      <w:bookmarkStart w:id="793" w:name="_Toc101874708"/>
      <w:bookmarkStart w:id="794" w:name="_Toc101954164"/>
      <w:bookmarkStart w:id="795" w:name="_Toc101971981"/>
      <w:bookmarkStart w:id="796" w:name="_Toc101974073"/>
      <w:bookmarkStart w:id="797" w:name="_Toc102039758"/>
      <w:bookmarkStart w:id="798" w:name="_Toc102039796"/>
      <w:bookmarkStart w:id="799" w:name="_Toc102039836"/>
      <w:bookmarkStart w:id="800" w:name="_Toc102039867"/>
      <w:bookmarkStart w:id="801" w:name="_Toc102040925"/>
      <w:bookmarkStart w:id="802" w:name="_Toc102477773"/>
      <w:bookmarkStart w:id="803" w:name="_Toc102477804"/>
      <w:bookmarkStart w:id="804" w:name="_Toc109824834"/>
      <w:bookmarkStart w:id="805" w:name="_Toc109828790"/>
      <w:bookmarkStart w:id="806" w:name="_Toc109828853"/>
      <w:bookmarkStart w:id="807" w:name="_Toc109829029"/>
      <w:bookmarkStart w:id="808" w:name="_Toc109829060"/>
      <w:bookmarkStart w:id="809" w:name="_Toc109833904"/>
      <w:bookmarkStart w:id="810" w:name="_Toc110237447"/>
      <w:bookmarkStart w:id="811" w:name="_Toc117775324"/>
      <w:bookmarkStart w:id="812" w:name="_Toc117781293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</w:p>
    <w:p w14:paraId="2B7C610F" w14:textId="77777777" w:rsidR="000F19C1" w:rsidRPr="00FC4688" w:rsidRDefault="000F19C1" w:rsidP="000F19C1">
      <w:pPr>
        <w:pStyle w:val="Prrafodelista"/>
        <w:keepNext/>
        <w:keepLines/>
        <w:numPr>
          <w:ilvl w:val="0"/>
          <w:numId w:val="43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813" w:name="_Toc55374012"/>
      <w:bookmarkStart w:id="814" w:name="_Toc55375149"/>
      <w:bookmarkStart w:id="815" w:name="_Toc55396557"/>
      <w:bookmarkStart w:id="816" w:name="_Toc65230554"/>
      <w:bookmarkStart w:id="817" w:name="_Toc65230792"/>
      <w:bookmarkStart w:id="818" w:name="_Toc65232076"/>
      <w:bookmarkStart w:id="819" w:name="_Toc65232321"/>
      <w:bookmarkStart w:id="820" w:name="_Toc66716180"/>
      <w:bookmarkStart w:id="821" w:name="_Toc71097224"/>
      <w:bookmarkStart w:id="822" w:name="_Toc71097255"/>
      <w:bookmarkStart w:id="823" w:name="_Toc71097330"/>
      <w:bookmarkStart w:id="824" w:name="_Toc71108070"/>
      <w:bookmarkStart w:id="825" w:name="_Toc79055264"/>
      <w:bookmarkStart w:id="826" w:name="_Toc79055295"/>
      <w:bookmarkStart w:id="827" w:name="_Toc79060186"/>
      <w:bookmarkStart w:id="828" w:name="_Toc79060473"/>
      <w:bookmarkStart w:id="829" w:name="_Toc81307830"/>
      <w:bookmarkStart w:id="830" w:name="_Toc83376491"/>
      <w:bookmarkStart w:id="831" w:name="_Toc86386730"/>
      <w:bookmarkStart w:id="832" w:name="_Toc86405416"/>
      <w:bookmarkStart w:id="833" w:name="_Toc98162446"/>
      <w:bookmarkStart w:id="834" w:name="_Toc98162478"/>
      <w:bookmarkStart w:id="835" w:name="_Toc98235004"/>
      <w:bookmarkStart w:id="836" w:name="_Toc98235199"/>
      <w:bookmarkStart w:id="837" w:name="_Toc98235284"/>
      <w:bookmarkStart w:id="838" w:name="_Toc98757154"/>
      <w:bookmarkStart w:id="839" w:name="_Toc101874709"/>
      <w:bookmarkStart w:id="840" w:name="_Toc101954165"/>
      <w:bookmarkStart w:id="841" w:name="_Toc101971982"/>
      <w:bookmarkStart w:id="842" w:name="_Toc101974074"/>
      <w:bookmarkStart w:id="843" w:name="_Toc102039759"/>
      <w:bookmarkStart w:id="844" w:name="_Toc102039797"/>
      <w:bookmarkStart w:id="845" w:name="_Toc102039837"/>
      <w:bookmarkStart w:id="846" w:name="_Toc102039868"/>
      <w:bookmarkStart w:id="847" w:name="_Toc102040926"/>
      <w:bookmarkStart w:id="848" w:name="_Toc102477774"/>
      <w:bookmarkStart w:id="849" w:name="_Toc102477805"/>
      <w:bookmarkStart w:id="850" w:name="_Toc109824835"/>
      <w:bookmarkStart w:id="851" w:name="_Toc109828791"/>
      <w:bookmarkStart w:id="852" w:name="_Toc109828854"/>
      <w:bookmarkStart w:id="853" w:name="_Toc109829030"/>
      <w:bookmarkStart w:id="854" w:name="_Toc109829061"/>
      <w:bookmarkStart w:id="855" w:name="_Toc109833905"/>
      <w:bookmarkStart w:id="856" w:name="_Toc110237448"/>
      <w:bookmarkStart w:id="857" w:name="_Toc117775325"/>
      <w:bookmarkStart w:id="858" w:name="_Toc117781294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</w:p>
    <w:p w14:paraId="5DA454F1" w14:textId="77777777" w:rsidR="000F19C1" w:rsidRPr="00FC4688" w:rsidRDefault="000F19C1" w:rsidP="000F19C1">
      <w:pPr>
        <w:pStyle w:val="Prrafodelista"/>
        <w:keepNext/>
        <w:keepLines/>
        <w:numPr>
          <w:ilvl w:val="0"/>
          <w:numId w:val="43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859" w:name="_Toc55374013"/>
      <w:bookmarkStart w:id="860" w:name="_Toc55375150"/>
      <w:bookmarkStart w:id="861" w:name="_Toc55396558"/>
      <w:bookmarkStart w:id="862" w:name="_Toc65230555"/>
      <w:bookmarkStart w:id="863" w:name="_Toc65230793"/>
      <w:bookmarkStart w:id="864" w:name="_Toc65232077"/>
      <w:bookmarkStart w:id="865" w:name="_Toc65232322"/>
      <w:bookmarkStart w:id="866" w:name="_Toc66716181"/>
      <w:bookmarkStart w:id="867" w:name="_Toc71097225"/>
      <w:bookmarkStart w:id="868" w:name="_Toc71097256"/>
      <w:bookmarkStart w:id="869" w:name="_Toc71097331"/>
      <w:bookmarkStart w:id="870" w:name="_Toc71108071"/>
      <w:bookmarkStart w:id="871" w:name="_Toc79055265"/>
      <w:bookmarkStart w:id="872" w:name="_Toc79055296"/>
      <w:bookmarkStart w:id="873" w:name="_Toc79060187"/>
      <w:bookmarkStart w:id="874" w:name="_Toc79060474"/>
      <w:bookmarkStart w:id="875" w:name="_Toc81307831"/>
      <w:bookmarkStart w:id="876" w:name="_Toc83376492"/>
      <w:bookmarkStart w:id="877" w:name="_Toc86386731"/>
      <w:bookmarkStart w:id="878" w:name="_Toc86405417"/>
      <w:bookmarkStart w:id="879" w:name="_Toc98162447"/>
      <w:bookmarkStart w:id="880" w:name="_Toc98162479"/>
      <w:bookmarkStart w:id="881" w:name="_Toc98235005"/>
      <w:bookmarkStart w:id="882" w:name="_Toc98235200"/>
      <w:bookmarkStart w:id="883" w:name="_Toc98235285"/>
      <w:bookmarkStart w:id="884" w:name="_Toc98757155"/>
      <w:bookmarkStart w:id="885" w:name="_Toc101874710"/>
      <w:bookmarkStart w:id="886" w:name="_Toc101954166"/>
      <w:bookmarkStart w:id="887" w:name="_Toc101971983"/>
      <w:bookmarkStart w:id="888" w:name="_Toc101974075"/>
      <w:bookmarkStart w:id="889" w:name="_Toc102039760"/>
      <w:bookmarkStart w:id="890" w:name="_Toc102039798"/>
      <w:bookmarkStart w:id="891" w:name="_Toc102039838"/>
      <w:bookmarkStart w:id="892" w:name="_Toc102039869"/>
      <w:bookmarkStart w:id="893" w:name="_Toc102040927"/>
      <w:bookmarkStart w:id="894" w:name="_Toc102477775"/>
      <w:bookmarkStart w:id="895" w:name="_Toc102477806"/>
      <w:bookmarkStart w:id="896" w:name="_Toc109824836"/>
      <w:bookmarkStart w:id="897" w:name="_Toc109828792"/>
      <w:bookmarkStart w:id="898" w:name="_Toc109828855"/>
      <w:bookmarkStart w:id="899" w:name="_Toc109829031"/>
      <w:bookmarkStart w:id="900" w:name="_Toc109829062"/>
      <w:bookmarkStart w:id="901" w:name="_Toc109833906"/>
      <w:bookmarkStart w:id="902" w:name="_Toc110237449"/>
      <w:bookmarkStart w:id="903" w:name="_Toc117775326"/>
      <w:bookmarkStart w:id="904" w:name="_Toc117781295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</w:p>
    <w:p w14:paraId="045B7FE4" w14:textId="77777777" w:rsidR="00C56688" w:rsidRPr="00FC4688" w:rsidRDefault="00C56688" w:rsidP="00C56688">
      <w:pPr>
        <w:pStyle w:val="Prrafodelista"/>
        <w:keepNext/>
        <w:keepLines/>
        <w:numPr>
          <w:ilvl w:val="0"/>
          <w:numId w:val="12"/>
        </w:numPr>
        <w:tabs>
          <w:tab w:val="left" w:pos="426"/>
        </w:tabs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905" w:name="_Toc55374014"/>
      <w:bookmarkStart w:id="906" w:name="_Toc55375151"/>
      <w:bookmarkStart w:id="907" w:name="_Toc55396559"/>
      <w:bookmarkStart w:id="908" w:name="_Toc65230556"/>
      <w:bookmarkStart w:id="909" w:name="_Toc65230794"/>
      <w:bookmarkStart w:id="910" w:name="_Toc65232078"/>
      <w:bookmarkStart w:id="911" w:name="_Toc65232323"/>
      <w:bookmarkStart w:id="912" w:name="_Toc66716182"/>
      <w:bookmarkStart w:id="913" w:name="_Toc71097226"/>
      <w:bookmarkStart w:id="914" w:name="_Toc71097257"/>
      <w:bookmarkStart w:id="915" w:name="_Toc71097332"/>
      <w:bookmarkStart w:id="916" w:name="_Toc71108072"/>
      <w:bookmarkStart w:id="917" w:name="_Toc79055266"/>
      <w:bookmarkStart w:id="918" w:name="_Toc79055297"/>
      <w:bookmarkStart w:id="919" w:name="_Toc79060188"/>
      <w:bookmarkStart w:id="920" w:name="_Toc79060475"/>
      <w:bookmarkStart w:id="921" w:name="_Toc81307832"/>
      <w:bookmarkStart w:id="922" w:name="_Toc83376493"/>
      <w:bookmarkStart w:id="923" w:name="_Toc86386732"/>
      <w:bookmarkStart w:id="924" w:name="_Toc86405418"/>
      <w:bookmarkStart w:id="925" w:name="_Toc98162448"/>
      <w:bookmarkStart w:id="926" w:name="_Toc98162480"/>
      <w:bookmarkStart w:id="927" w:name="_Toc98235006"/>
      <w:bookmarkStart w:id="928" w:name="_Toc98235201"/>
      <w:bookmarkStart w:id="929" w:name="_Toc98235286"/>
      <w:bookmarkStart w:id="930" w:name="_Toc98757156"/>
      <w:bookmarkStart w:id="931" w:name="_Toc101874711"/>
      <w:bookmarkStart w:id="932" w:name="_Toc101954167"/>
      <w:bookmarkStart w:id="933" w:name="_Toc101971984"/>
      <w:bookmarkStart w:id="934" w:name="_Toc101974076"/>
      <w:bookmarkStart w:id="935" w:name="_Toc102039761"/>
      <w:bookmarkStart w:id="936" w:name="_Toc102039799"/>
      <w:bookmarkStart w:id="937" w:name="_Toc102039839"/>
      <w:bookmarkStart w:id="938" w:name="_Toc102039870"/>
      <w:bookmarkStart w:id="939" w:name="_Toc102040928"/>
      <w:bookmarkStart w:id="940" w:name="_Toc102477776"/>
      <w:bookmarkStart w:id="941" w:name="_Toc102477807"/>
      <w:bookmarkStart w:id="942" w:name="_Toc109824837"/>
      <w:bookmarkStart w:id="943" w:name="_Toc109828793"/>
      <w:bookmarkStart w:id="944" w:name="_Toc109828856"/>
      <w:bookmarkStart w:id="945" w:name="_Toc109829032"/>
      <w:bookmarkStart w:id="946" w:name="_Toc109829063"/>
      <w:bookmarkStart w:id="947" w:name="_Toc109833907"/>
      <w:bookmarkStart w:id="948" w:name="_Toc110237450"/>
      <w:bookmarkStart w:id="949" w:name="_Toc117775327"/>
      <w:bookmarkStart w:id="950" w:name="_Toc117781296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</w:p>
    <w:p w14:paraId="4545F53E" w14:textId="6873750C" w:rsidR="00490038" w:rsidRPr="00FC4688" w:rsidRDefault="00490038" w:rsidP="00C56688">
      <w:pPr>
        <w:pStyle w:val="Ttulo2"/>
        <w:numPr>
          <w:ilvl w:val="1"/>
          <w:numId w:val="12"/>
        </w:numPr>
        <w:tabs>
          <w:tab w:val="left" w:pos="426"/>
        </w:tabs>
        <w:spacing w:before="0"/>
        <w:rPr>
          <w:rFonts w:ascii="Times New Roman" w:hAnsi="Times New Roman" w:cs="Times New Roman"/>
          <w:color w:val="auto"/>
          <w:sz w:val="24"/>
        </w:rPr>
      </w:pPr>
      <w:bookmarkStart w:id="951" w:name="_Toc117781297"/>
      <w:r w:rsidRPr="00FC4688">
        <w:rPr>
          <w:rFonts w:ascii="Times New Roman" w:hAnsi="Times New Roman" w:cs="Times New Roman"/>
          <w:color w:val="auto"/>
          <w:sz w:val="24"/>
        </w:rPr>
        <w:t>Erogaciones por Función</w:t>
      </w:r>
      <w:r w:rsidR="00745870" w:rsidRPr="00FC4688">
        <w:rPr>
          <w:rFonts w:ascii="Times New Roman" w:hAnsi="Times New Roman" w:cs="Times New Roman"/>
          <w:color w:val="auto"/>
          <w:sz w:val="24"/>
        </w:rPr>
        <w:t xml:space="preserve"> </w:t>
      </w:r>
      <w:r w:rsidR="00C84ECE" w:rsidRPr="00FC4688">
        <w:rPr>
          <w:rFonts w:ascii="Times New Roman" w:hAnsi="Times New Roman" w:cs="Times New Roman"/>
          <w:color w:val="auto"/>
          <w:sz w:val="24"/>
        </w:rPr>
        <w:t xml:space="preserve">continúan </w:t>
      </w:r>
      <w:r w:rsidR="00944641" w:rsidRPr="00FC4688">
        <w:rPr>
          <w:rFonts w:ascii="Times New Roman" w:hAnsi="Times New Roman" w:cs="Times New Roman"/>
          <w:color w:val="auto"/>
          <w:sz w:val="24"/>
        </w:rPr>
        <w:t>incrementándose</w:t>
      </w:r>
      <w:bookmarkEnd w:id="951"/>
    </w:p>
    <w:p w14:paraId="27DE13D5" w14:textId="1D71A38C" w:rsidR="0050196D" w:rsidRPr="00FC4688" w:rsidRDefault="000D3F6A" w:rsidP="00CD34D6">
      <w:pPr>
        <w:rPr>
          <w:rFonts w:cs="Times New Roman"/>
        </w:rPr>
      </w:pPr>
      <w:r w:rsidRPr="00FC4688">
        <w:rPr>
          <w:rFonts w:cs="Times New Roman"/>
        </w:rPr>
        <w:t>A</w:t>
      </w:r>
      <w:r w:rsidR="005B35BB" w:rsidRPr="00FC4688">
        <w:rPr>
          <w:rFonts w:cs="Times New Roman"/>
        </w:rPr>
        <w:t xml:space="preserve">l finalizar </w:t>
      </w:r>
      <w:r w:rsidRPr="00FC4688">
        <w:rPr>
          <w:rFonts w:cs="Times New Roman"/>
        </w:rPr>
        <w:t xml:space="preserve">el tercer trimestre del año, se observa que las erogaciones del Gobierno Central Presupuestario se sitúan </w:t>
      </w:r>
      <w:r w:rsidR="000309EC" w:rsidRPr="00FC4688">
        <w:rPr>
          <w:rFonts w:cs="Times New Roman"/>
        </w:rPr>
        <w:t>en torno</w:t>
      </w:r>
      <w:r w:rsidRPr="00FC4688">
        <w:rPr>
          <w:rFonts w:cs="Times New Roman"/>
        </w:rPr>
        <w:t xml:space="preserve"> a</w:t>
      </w:r>
      <w:r w:rsidR="000309EC" w:rsidRPr="00FC4688">
        <w:rPr>
          <w:rFonts w:cs="Times New Roman"/>
        </w:rPr>
        <w:t xml:space="preserve"> los</w:t>
      </w:r>
      <w:r w:rsidRPr="00FC4688">
        <w:rPr>
          <w:rFonts w:cs="Times New Roman"/>
        </w:rPr>
        <w:t xml:space="preserve"> </w:t>
      </w:r>
      <w:r w:rsidR="006B33B4" w:rsidRPr="00FC4688">
        <w:rPr>
          <w:rFonts w:cs="Times New Roman"/>
        </w:rPr>
        <w:t>Q</w:t>
      </w:r>
      <w:r w:rsidR="000309EC" w:rsidRPr="00FC4688">
        <w:rPr>
          <w:rFonts w:cs="Times New Roman"/>
        </w:rPr>
        <w:t>74,548</w:t>
      </w:r>
      <w:r w:rsidR="00BA52A7" w:rsidRPr="00FC4688">
        <w:rPr>
          <w:rFonts w:cs="Times New Roman"/>
        </w:rPr>
        <w:t xml:space="preserve">.1 </w:t>
      </w:r>
      <w:r w:rsidR="006B33B4" w:rsidRPr="00FC4688">
        <w:rPr>
          <w:rFonts w:cs="Times New Roman"/>
        </w:rPr>
        <w:t>millones</w:t>
      </w:r>
      <w:r w:rsidR="00BA52A7" w:rsidRPr="00FC4688">
        <w:rPr>
          <w:rFonts w:cs="Times New Roman"/>
        </w:rPr>
        <w:t xml:space="preserve"> </w:t>
      </w:r>
      <w:r w:rsidR="000309EC" w:rsidRPr="00FC4688">
        <w:rPr>
          <w:rFonts w:cs="Times New Roman"/>
        </w:rPr>
        <w:t>y siendo este un crecimiento de</w:t>
      </w:r>
      <w:r w:rsidR="00553CAE" w:rsidRPr="00FC4688">
        <w:rPr>
          <w:rFonts w:cs="Times New Roman"/>
        </w:rPr>
        <w:t>l</w:t>
      </w:r>
      <w:r w:rsidR="00BA52A7" w:rsidRPr="00FC4688">
        <w:rPr>
          <w:rFonts w:cs="Times New Roman"/>
        </w:rPr>
        <w:t xml:space="preserve"> 1</w:t>
      </w:r>
      <w:r w:rsidR="00553CAE" w:rsidRPr="00FC4688">
        <w:rPr>
          <w:rFonts w:cs="Times New Roman"/>
        </w:rPr>
        <w:t>6</w:t>
      </w:r>
      <w:r w:rsidR="00BA52A7" w:rsidRPr="00FC4688">
        <w:rPr>
          <w:rFonts w:cs="Times New Roman"/>
        </w:rPr>
        <w:t>.</w:t>
      </w:r>
      <w:r w:rsidR="00553CAE" w:rsidRPr="00FC4688">
        <w:rPr>
          <w:rFonts w:cs="Times New Roman"/>
        </w:rPr>
        <w:t>6</w:t>
      </w:r>
      <w:r w:rsidR="00BA52A7" w:rsidRPr="00FC4688">
        <w:rPr>
          <w:rFonts w:cs="Times New Roman"/>
        </w:rPr>
        <w:t>% (</w:t>
      </w:r>
      <w:r w:rsidR="00FD0BBB" w:rsidRPr="00FC4688">
        <w:rPr>
          <w:rFonts w:cs="Times New Roman"/>
        </w:rPr>
        <w:t>Q</w:t>
      </w:r>
      <w:r w:rsidR="00553CAE" w:rsidRPr="00FC4688">
        <w:rPr>
          <w:rFonts w:cs="Times New Roman"/>
        </w:rPr>
        <w:t>10,639.0</w:t>
      </w:r>
      <w:r w:rsidR="00FD0BBB" w:rsidRPr="00FC4688">
        <w:rPr>
          <w:rFonts w:cs="Times New Roman"/>
        </w:rPr>
        <w:t xml:space="preserve"> millones)</w:t>
      </w:r>
      <w:r w:rsidR="001427D5" w:rsidRPr="00FC4688">
        <w:rPr>
          <w:rFonts w:cs="Times New Roman"/>
        </w:rPr>
        <w:t xml:space="preserve">. Cabe destacar que el </w:t>
      </w:r>
      <w:r w:rsidR="00FD0BBB" w:rsidRPr="00FC4688">
        <w:rPr>
          <w:rFonts w:cs="Times New Roman"/>
        </w:rPr>
        <w:t>mayor incremento se</w:t>
      </w:r>
      <w:r w:rsidR="00296FB9" w:rsidRPr="00FC4688">
        <w:rPr>
          <w:rFonts w:cs="Times New Roman"/>
        </w:rPr>
        <w:t xml:space="preserve"> está produciendo las erogaciones destinadas a la función de </w:t>
      </w:r>
      <w:r w:rsidR="00921FB7" w:rsidRPr="00FC4688">
        <w:rPr>
          <w:rFonts w:cs="Times New Roman"/>
        </w:rPr>
        <w:t>asuntos económicos</w:t>
      </w:r>
      <w:r w:rsidR="0097758E" w:rsidRPr="00FC4688">
        <w:rPr>
          <w:rFonts w:cs="Times New Roman"/>
        </w:rPr>
        <w:t>,</w:t>
      </w:r>
      <w:r w:rsidR="00E73C7F" w:rsidRPr="00FC4688">
        <w:rPr>
          <w:rFonts w:cs="Times New Roman"/>
        </w:rPr>
        <w:t xml:space="preserve"> </w:t>
      </w:r>
      <w:r w:rsidR="00E82AF2" w:rsidRPr="00FC4688">
        <w:rPr>
          <w:rFonts w:cs="Times New Roman"/>
        </w:rPr>
        <w:t>que,</w:t>
      </w:r>
      <w:r w:rsidR="00921FB7" w:rsidRPr="00FC4688">
        <w:rPr>
          <w:rFonts w:cs="Times New Roman"/>
        </w:rPr>
        <w:t xml:space="preserve"> </w:t>
      </w:r>
      <w:r w:rsidR="00296FB9" w:rsidRPr="00FC4688">
        <w:rPr>
          <w:rFonts w:cs="Times New Roman"/>
        </w:rPr>
        <w:t xml:space="preserve">en términos acumulados, ascienden a </w:t>
      </w:r>
      <w:r w:rsidR="00502B4E" w:rsidRPr="00FC4688">
        <w:rPr>
          <w:rFonts w:cs="Times New Roman"/>
        </w:rPr>
        <w:t>Q</w:t>
      </w:r>
      <w:r w:rsidR="00224D47" w:rsidRPr="00FC4688">
        <w:rPr>
          <w:rFonts w:cs="Times New Roman"/>
        </w:rPr>
        <w:t>8,223.5</w:t>
      </w:r>
      <w:r w:rsidR="00D21D4C" w:rsidRPr="00FC4688">
        <w:rPr>
          <w:rFonts w:cs="Times New Roman"/>
        </w:rPr>
        <w:t xml:space="preserve"> </w:t>
      </w:r>
      <w:r w:rsidR="00502B4E" w:rsidRPr="00FC4688">
        <w:rPr>
          <w:rFonts w:cs="Times New Roman"/>
        </w:rPr>
        <w:t>millones</w:t>
      </w:r>
      <w:r w:rsidR="00224D47" w:rsidRPr="00FC4688">
        <w:rPr>
          <w:rFonts w:cs="Times New Roman"/>
        </w:rPr>
        <w:t xml:space="preserve"> con un incremento interanual de 49.4% (Q2,718.4 millones)</w:t>
      </w:r>
      <w:r w:rsidR="005602F4" w:rsidRPr="00FC4688">
        <w:rPr>
          <w:rFonts w:cs="Times New Roman"/>
        </w:rPr>
        <w:t xml:space="preserve"> </w:t>
      </w:r>
      <w:r w:rsidR="00117DB5" w:rsidRPr="00FC4688">
        <w:rPr>
          <w:rFonts w:cs="Times New Roman"/>
        </w:rPr>
        <w:t>que</w:t>
      </w:r>
      <w:r w:rsidR="005602F4" w:rsidRPr="00FC4688">
        <w:rPr>
          <w:rFonts w:cs="Times New Roman"/>
        </w:rPr>
        <w:t xml:space="preserve"> en buena medida </w:t>
      </w:r>
      <w:r w:rsidR="00886744" w:rsidRPr="00FC4688">
        <w:rPr>
          <w:rFonts w:cs="Times New Roman"/>
        </w:rPr>
        <w:t xml:space="preserve">se explica </w:t>
      </w:r>
      <w:r w:rsidR="003F58C5" w:rsidRPr="00FC4688">
        <w:rPr>
          <w:rFonts w:cs="Times New Roman"/>
        </w:rPr>
        <w:t>por</w:t>
      </w:r>
      <w:r w:rsidR="00886744" w:rsidRPr="00FC4688">
        <w:rPr>
          <w:rFonts w:cs="Times New Roman"/>
        </w:rPr>
        <w:t xml:space="preserve"> </w:t>
      </w:r>
      <w:r w:rsidR="006B0328" w:rsidRPr="00FC4688">
        <w:rPr>
          <w:rFonts w:cs="Times New Roman"/>
        </w:rPr>
        <w:t>la entrega del subsidio al gas</w:t>
      </w:r>
      <w:r w:rsidR="000E055B" w:rsidRPr="00FC4688">
        <w:rPr>
          <w:rFonts w:cs="Times New Roman"/>
        </w:rPr>
        <w:t xml:space="preserve"> propano</w:t>
      </w:r>
      <w:r w:rsidR="006B0328" w:rsidRPr="00FC4688">
        <w:rPr>
          <w:rFonts w:cs="Times New Roman"/>
        </w:rPr>
        <w:t xml:space="preserve"> y a</w:t>
      </w:r>
      <w:r w:rsidR="000853F6" w:rsidRPr="00FC4688">
        <w:rPr>
          <w:rFonts w:cs="Times New Roman"/>
        </w:rPr>
        <w:t xml:space="preserve"> </w:t>
      </w:r>
      <w:r w:rsidR="006B0328" w:rsidRPr="00FC4688">
        <w:rPr>
          <w:rFonts w:cs="Times New Roman"/>
        </w:rPr>
        <w:t>l</w:t>
      </w:r>
      <w:r w:rsidR="000853F6" w:rsidRPr="00FC4688">
        <w:rPr>
          <w:rFonts w:cs="Times New Roman"/>
        </w:rPr>
        <w:t>os</w:t>
      </w:r>
      <w:r w:rsidR="006B0328" w:rsidRPr="00FC4688">
        <w:rPr>
          <w:rFonts w:cs="Times New Roman"/>
        </w:rPr>
        <w:t xml:space="preserve"> </w:t>
      </w:r>
      <w:r w:rsidR="000853F6" w:rsidRPr="00FC4688">
        <w:rPr>
          <w:rFonts w:cs="Times New Roman"/>
        </w:rPr>
        <w:t>combustibles</w:t>
      </w:r>
      <w:r w:rsidR="00332B04" w:rsidRPr="00FC4688">
        <w:rPr>
          <w:rFonts w:cs="Times New Roman"/>
        </w:rPr>
        <w:t>.</w:t>
      </w:r>
    </w:p>
    <w:p w14:paraId="0DAB90B9" w14:textId="77777777" w:rsidR="007B3242" w:rsidRPr="00FC4688" w:rsidRDefault="007B3242" w:rsidP="00CD34D6">
      <w:pPr>
        <w:rPr>
          <w:rFonts w:cs="Times New Roman"/>
        </w:rPr>
      </w:pPr>
    </w:p>
    <w:p w14:paraId="09DBC17B" w14:textId="1F26384F" w:rsidR="002F5792" w:rsidRPr="00FC4688" w:rsidRDefault="00CA2A02" w:rsidP="00CD34D6">
      <w:pPr>
        <w:rPr>
          <w:rFonts w:cs="Times New Roman"/>
        </w:rPr>
      </w:pPr>
      <w:r w:rsidRPr="00FC4688">
        <w:rPr>
          <w:rFonts w:cs="Times New Roman"/>
        </w:rPr>
        <w:t>Por su parte,</w:t>
      </w:r>
      <w:r w:rsidR="00E82AF2" w:rsidRPr="00FC4688">
        <w:rPr>
          <w:rFonts w:cs="Times New Roman"/>
        </w:rPr>
        <w:t xml:space="preserve"> le sigue</w:t>
      </w:r>
      <w:r w:rsidRPr="00FC4688">
        <w:rPr>
          <w:rFonts w:cs="Times New Roman"/>
        </w:rPr>
        <w:t xml:space="preserve"> las erogaciones destinadas a la función de educación</w:t>
      </w:r>
      <w:r w:rsidR="00827000" w:rsidRPr="00FC4688">
        <w:rPr>
          <w:rFonts w:cs="Times New Roman"/>
        </w:rPr>
        <w:t xml:space="preserve"> </w:t>
      </w:r>
      <w:r w:rsidR="00A009DA" w:rsidRPr="00FC4688">
        <w:rPr>
          <w:rFonts w:cs="Times New Roman"/>
        </w:rPr>
        <w:t xml:space="preserve">en cuanto al mayor incremento observado. Estas ascienden a </w:t>
      </w:r>
      <w:r w:rsidR="00552D0B" w:rsidRPr="00FC4688">
        <w:rPr>
          <w:rFonts w:cs="Times New Roman"/>
        </w:rPr>
        <w:t>Q17,222.5 millones con un incremento interanual de 15.1% (Q2,254.2 millones)</w:t>
      </w:r>
      <w:r w:rsidR="00AB5BA7" w:rsidRPr="00FC4688">
        <w:rPr>
          <w:rFonts w:cs="Times New Roman"/>
        </w:rPr>
        <w:t xml:space="preserve"> y </w:t>
      </w:r>
      <w:r w:rsidR="000C662D" w:rsidRPr="00FC4688">
        <w:rPr>
          <w:rFonts w:cs="Times New Roman"/>
        </w:rPr>
        <w:t>a nivel de</w:t>
      </w:r>
      <w:r w:rsidR="003319E8" w:rsidRPr="00FC4688">
        <w:rPr>
          <w:rFonts w:cs="Times New Roman"/>
        </w:rPr>
        <w:t xml:space="preserve"> subcategoría</w:t>
      </w:r>
      <w:r w:rsidR="000C662D" w:rsidRPr="00FC4688">
        <w:rPr>
          <w:rFonts w:cs="Times New Roman"/>
        </w:rPr>
        <w:t>s</w:t>
      </w:r>
      <w:r w:rsidR="003319E8" w:rsidRPr="00FC4688">
        <w:rPr>
          <w:rFonts w:cs="Times New Roman"/>
        </w:rPr>
        <w:t xml:space="preserve"> </w:t>
      </w:r>
      <w:r w:rsidR="000C662D" w:rsidRPr="00FC4688">
        <w:rPr>
          <w:rFonts w:cs="Times New Roman"/>
        </w:rPr>
        <w:t xml:space="preserve">las </w:t>
      </w:r>
      <w:r w:rsidR="00BA7217" w:rsidRPr="00FC4688">
        <w:rPr>
          <w:rFonts w:cs="Times New Roman"/>
        </w:rPr>
        <w:t>más</w:t>
      </w:r>
      <w:r w:rsidR="003319E8" w:rsidRPr="00FC4688">
        <w:rPr>
          <w:rFonts w:cs="Times New Roman"/>
        </w:rPr>
        <w:t xml:space="preserve"> destacable</w:t>
      </w:r>
      <w:r w:rsidR="000C662D" w:rsidRPr="00FC4688">
        <w:rPr>
          <w:rFonts w:cs="Times New Roman"/>
        </w:rPr>
        <w:t>s</w:t>
      </w:r>
      <w:r w:rsidR="003319E8" w:rsidRPr="00FC4688">
        <w:rPr>
          <w:rFonts w:cs="Times New Roman"/>
        </w:rPr>
        <w:t xml:space="preserve"> son</w:t>
      </w:r>
      <w:r w:rsidR="000C662D" w:rsidRPr="00FC4688">
        <w:rPr>
          <w:rFonts w:cs="Times New Roman"/>
        </w:rPr>
        <w:t>;</w:t>
      </w:r>
      <w:r w:rsidR="003319E8" w:rsidRPr="00FC4688">
        <w:rPr>
          <w:rFonts w:cs="Times New Roman"/>
        </w:rPr>
        <w:t xml:space="preserve"> las erogaciones en</w:t>
      </w:r>
      <w:r w:rsidR="00895126" w:rsidRPr="00FC4688">
        <w:rPr>
          <w:rFonts w:cs="Times New Roman"/>
        </w:rPr>
        <w:t xml:space="preserve"> servicios auxiliares de la educación </w:t>
      </w:r>
      <w:r w:rsidR="00C2492A" w:rsidRPr="00FC4688">
        <w:rPr>
          <w:rFonts w:cs="Times New Roman"/>
        </w:rPr>
        <w:t>con u</w:t>
      </w:r>
      <w:r w:rsidR="003319E8" w:rsidRPr="00FC4688">
        <w:rPr>
          <w:rFonts w:cs="Times New Roman"/>
        </w:rPr>
        <w:t>n incremento interanual del</w:t>
      </w:r>
      <w:r w:rsidR="00C62B0D" w:rsidRPr="00FC4688">
        <w:rPr>
          <w:rFonts w:cs="Times New Roman"/>
        </w:rPr>
        <w:t xml:space="preserve"> </w:t>
      </w:r>
      <w:r w:rsidR="00BA7217" w:rsidRPr="00FC4688">
        <w:rPr>
          <w:rFonts w:cs="Times New Roman"/>
        </w:rPr>
        <w:t>44.6</w:t>
      </w:r>
      <w:r w:rsidR="00C62B0D" w:rsidRPr="00FC4688">
        <w:rPr>
          <w:rFonts w:cs="Times New Roman"/>
        </w:rPr>
        <w:t>% (Q</w:t>
      </w:r>
      <w:r w:rsidR="00446643" w:rsidRPr="00FC4688">
        <w:rPr>
          <w:rFonts w:cs="Times New Roman"/>
        </w:rPr>
        <w:t>1,252.0 millones</w:t>
      </w:r>
      <w:r w:rsidR="00C62B0D" w:rsidRPr="00FC4688">
        <w:rPr>
          <w:rFonts w:cs="Times New Roman"/>
        </w:rPr>
        <w:t xml:space="preserve">), seguido de las enfocadas en enseñanza preescolar y primaria con un aumento de </w:t>
      </w:r>
      <w:r w:rsidR="009D3B03" w:rsidRPr="00FC4688">
        <w:rPr>
          <w:rFonts w:cs="Times New Roman"/>
        </w:rPr>
        <w:t>7.6</w:t>
      </w:r>
      <w:r w:rsidR="00C62B0D" w:rsidRPr="00FC4688">
        <w:rPr>
          <w:rFonts w:cs="Times New Roman"/>
        </w:rPr>
        <w:t>% (</w:t>
      </w:r>
      <w:r w:rsidR="00B31A53" w:rsidRPr="00FC4688">
        <w:rPr>
          <w:rFonts w:cs="Times New Roman"/>
        </w:rPr>
        <w:t>Q655.4 millones</w:t>
      </w:r>
      <w:r w:rsidR="00C62B0D" w:rsidRPr="00FC4688">
        <w:rPr>
          <w:rFonts w:cs="Times New Roman"/>
        </w:rPr>
        <w:t xml:space="preserve">) y </w:t>
      </w:r>
      <w:r w:rsidR="00C2667C" w:rsidRPr="00FC4688">
        <w:rPr>
          <w:rFonts w:cs="Times New Roman"/>
        </w:rPr>
        <w:t xml:space="preserve">en la educación no clasificadas en otra parte con variación de </w:t>
      </w:r>
      <w:r w:rsidR="00F22898" w:rsidRPr="00FC4688">
        <w:rPr>
          <w:rFonts w:cs="Times New Roman"/>
        </w:rPr>
        <w:t>29.1</w:t>
      </w:r>
      <w:r w:rsidR="00C2667C" w:rsidRPr="00FC4688">
        <w:rPr>
          <w:rFonts w:cs="Times New Roman"/>
        </w:rPr>
        <w:t>% (Q</w:t>
      </w:r>
      <w:r w:rsidR="00F22898" w:rsidRPr="00FC4688">
        <w:rPr>
          <w:rFonts w:cs="Times New Roman"/>
        </w:rPr>
        <w:t>203.4</w:t>
      </w:r>
      <w:r w:rsidR="00C2667C" w:rsidRPr="00FC4688">
        <w:rPr>
          <w:rFonts w:cs="Times New Roman"/>
        </w:rPr>
        <w:t xml:space="preserve"> millones)</w:t>
      </w:r>
      <w:r w:rsidR="00912E91" w:rsidRPr="00FC4688">
        <w:rPr>
          <w:rFonts w:cs="Times New Roman"/>
        </w:rPr>
        <w:t>.</w:t>
      </w:r>
    </w:p>
    <w:p w14:paraId="0A7A645B" w14:textId="77777777" w:rsidR="007867FA" w:rsidRPr="00FC4688" w:rsidRDefault="007867FA" w:rsidP="00127460">
      <w:pPr>
        <w:rPr>
          <w:rFonts w:cs="Times New Roman"/>
        </w:rPr>
      </w:pPr>
    </w:p>
    <w:p w14:paraId="13399A30" w14:textId="77777777" w:rsidR="00F80C82" w:rsidRPr="00FC4688" w:rsidRDefault="00F80C82" w:rsidP="00CD34D6">
      <w:pPr>
        <w:rPr>
          <w:rFonts w:cs="Times New Roman"/>
        </w:rPr>
      </w:pPr>
      <w:r w:rsidRPr="00FC4688">
        <w:rPr>
          <w:rFonts w:cs="Times New Roman"/>
          <w:noProof/>
          <w:lang w:eastAsia="es-GT"/>
        </w:rPr>
        <w:drawing>
          <wp:inline distT="0" distB="0" distL="0" distR="0" wp14:anchorId="611B702D" wp14:editId="7D5FDA78">
            <wp:extent cx="5934710" cy="4517409"/>
            <wp:effectExtent l="0" t="0" r="889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461993D3" w14:textId="1228A779" w:rsidR="0099583D" w:rsidRPr="00FC4688" w:rsidRDefault="0099583D" w:rsidP="007867FA">
      <w:pPr>
        <w:rPr>
          <w:rFonts w:cs="Times New Roman"/>
        </w:rPr>
      </w:pPr>
      <w:r w:rsidRPr="00FC4688">
        <w:rPr>
          <w:rFonts w:cs="Times New Roman"/>
        </w:rPr>
        <w:lastRenderedPageBreak/>
        <w:t>L</w:t>
      </w:r>
      <w:r w:rsidR="007867FA" w:rsidRPr="00FC4688">
        <w:rPr>
          <w:rFonts w:cs="Times New Roman"/>
        </w:rPr>
        <w:t>as</w:t>
      </w:r>
      <w:r w:rsidRPr="00FC4688">
        <w:rPr>
          <w:rFonts w:cs="Times New Roman"/>
        </w:rPr>
        <w:t xml:space="preserve"> erogaciones</w:t>
      </w:r>
      <w:r w:rsidR="007867FA" w:rsidRPr="00FC4688">
        <w:rPr>
          <w:rFonts w:cs="Times New Roman"/>
        </w:rPr>
        <w:t xml:space="preserve"> destinadas a servicios públicos generales se sitúan en torno a Q13,843.2 millones con un aumento interanual de 12.1% (Q1,498.4 millones), seguido de las destinadas al orden público y seguridad con un valor acumulado de Q</w:t>
      </w:r>
      <w:r w:rsidR="002B2AFD" w:rsidRPr="00FC4688">
        <w:rPr>
          <w:rFonts w:cs="Times New Roman"/>
        </w:rPr>
        <w:t>8,913.3 millones</w:t>
      </w:r>
      <w:r w:rsidR="007867FA" w:rsidRPr="00FC4688">
        <w:rPr>
          <w:rFonts w:cs="Times New Roman"/>
        </w:rPr>
        <w:t xml:space="preserve"> y una variación de 14.6% (Q1,133.7 millones), las destinadas a vivienda y servicios comunitarios</w:t>
      </w:r>
      <w:r w:rsidR="007867FA" w:rsidRPr="00FC4688">
        <w:t xml:space="preserve"> son de Q</w:t>
      </w:r>
      <w:r w:rsidR="007867FA" w:rsidRPr="00FC4688">
        <w:rPr>
          <w:rFonts w:cs="Times New Roman"/>
        </w:rPr>
        <w:t>7,280.2 millones con un aumento de 16.7% (Q1,043.3 millones)</w:t>
      </w:r>
      <w:r w:rsidRPr="00FC4688">
        <w:rPr>
          <w:rFonts w:cs="Times New Roman"/>
        </w:rPr>
        <w:t>.</w:t>
      </w:r>
    </w:p>
    <w:p w14:paraId="2BA07B66" w14:textId="77777777" w:rsidR="002B2AFD" w:rsidRPr="00FC4688" w:rsidRDefault="002B2AFD" w:rsidP="007867FA">
      <w:pPr>
        <w:rPr>
          <w:rFonts w:cs="Times New Roman"/>
        </w:rPr>
      </w:pPr>
    </w:p>
    <w:p w14:paraId="26F9E829" w14:textId="30727D39" w:rsidR="0068146E" w:rsidRPr="00FC4688" w:rsidRDefault="002B2AFD" w:rsidP="007867FA">
      <w:pPr>
        <w:rPr>
          <w:rFonts w:cs="Times New Roman"/>
        </w:rPr>
      </w:pPr>
      <w:r w:rsidRPr="00FC4688">
        <w:rPr>
          <w:rFonts w:cs="Times New Roman"/>
        </w:rPr>
        <w:t>En cuanto</w:t>
      </w:r>
      <w:r w:rsidR="00AA50E7" w:rsidRPr="00FC4688">
        <w:rPr>
          <w:rFonts w:cs="Times New Roman"/>
        </w:rPr>
        <w:t xml:space="preserve"> a</w:t>
      </w:r>
      <w:r w:rsidRPr="00FC4688">
        <w:rPr>
          <w:rFonts w:cs="Times New Roman"/>
        </w:rPr>
        <w:t xml:space="preserve"> las destinadas a atender la función de </w:t>
      </w:r>
      <w:r w:rsidR="007867FA" w:rsidRPr="00FC4688">
        <w:rPr>
          <w:rFonts w:cs="Times New Roman"/>
        </w:rPr>
        <w:t>salud</w:t>
      </w:r>
      <w:r w:rsidR="00183EC1" w:rsidRPr="00FC4688">
        <w:rPr>
          <w:rFonts w:cs="Times New Roman"/>
        </w:rPr>
        <w:t>, estas</w:t>
      </w:r>
      <w:r w:rsidR="007867FA" w:rsidRPr="00FC4688">
        <w:rPr>
          <w:rFonts w:cs="Times New Roman"/>
        </w:rPr>
        <w:t xml:space="preserve"> asciend</w:t>
      </w:r>
      <w:r w:rsidRPr="00FC4688">
        <w:rPr>
          <w:rFonts w:cs="Times New Roman"/>
        </w:rPr>
        <w:t>en</w:t>
      </w:r>
      <w:r w:rsidR="007867FA" w:rsidRPr="00FC4688">
        <w:rPr>
          <w:rFonts w:cs="Times New Roman"/>
        </w:rPr>
        <w:t xml:space="preserve"> a Q7,393.3 millones con un incremento de 12.7% (Q833.5 millones),</w:t>
      </w:r>
      <w:r w:rsidR="007867FA" w:rsidRPr="00FC4688">
        <w:t xml:space="preserve"> en p</w:t>
      </w:r>
      <w:r w:rsidR="007867FA" w:rsidRPr="00FC4688">
        <w:rPr>
          <w:rFonts w:cs="Times New Roman"/>
        </w:rPr>
        <w:t>rotección social se sitúa en Q8,301.1 millones con una tasa de crecimiento del 6.5% (Q503.5</w:t>
      </w:r>
      <w:r w:rsidR="00461431" w:rsidRPr="00FC4688">
        <w:rPr>
          <w:rFonts w:cs="Times New Roman"/>
        </w:rPr>
        <w:t xml:space="preserve"> millones</w:t>
      </w:r>
      <w:r w:rsidR="007867FA" w:rsidRPr="00FC4688">
        <w:rPr>
          <w:rFonts w:cs="Times New Roman"/>
        </w:rPr>
        <w:t xml:space="preserve">) mientras que </w:t>
      </w:r>
      <w:r w:rsidR="00EE3F9E" w:rsidRPr="00FC4688">
        <w:rPr>
          <w:rFonts w:cs="Times New Roman"/>
        </w:rPr>
        <w:t>en la función de d</w:t>
      </w:r>
      <w:r w:rsidR="007867FA" w:rsidRPr="00FC4688">
        <w:rPr>
          <w:rFonts w:cs="Times New Roman"/>
        </w:rPr>
        <w:t>efensa es</w:t>
      </w:r>
      <w:r w:rsidR="00EE3F9E" w:rsidRPr="00FC4688">
        <w:rPr>
          <w:rFonts w:cs="Times New Roman"/>
        </w:rPr>
        <w:t>ta</w:t>
      </w:r>
      <w:r w:rsidR="007867FA" w:rsidRPr="00FC4688">
        <w:rPr>
          <w:rFonts w:cs="Times New Roman"/>
        </w:rPr>
        <w:t xml:space="preserve"> </w:t>
      </w:r>
      <w:r w:rsidR="00EE3F9E" w:rsidRPr="00FC4688">
        <w:rPr>
          <w:rFonts w:cs="Times New Roman"/>
        </w:rPr>
        <w:t xml:space="preserve">es </w:t>
      </w:r>
      <w:r w:rsidR="007867FA" w:rsidRPr="00FC4688">
        <w:rPr>
          <w:rFonts w:cs="Times New Roman"/>
        </w:rPr>
        <w:t>de Q1,598.2 millones con un incremento interanual de 37.6% (Q436.7 millones)</w:t>
      </w:r>
      <w:r w:rsidR="00461431" w:rsidRPr="00FC4688">
        <w:rPr>
          <w:rFonts w:cs="Times New Roman"/>
        </w:rPr>
        <w:t>.</w:t>
      </w:r>
      <w:r w:rsidR="007867FA" w:rsidRPr="00FC4688">
        <w:rPr>
          <w:rFonts w:cs="Times New Roman"/>
        </w:rPr>
        <w:t xml:space="preserve"> </w:t>
      </w:r>
    </w:p>
    <w:p w14:paraId="74DAF09F" w14:textId="77777777" w:rsidR="0068146E" w:rsidRPr="00FC4688" w:rsidRDefault="0068146E" w:rsidP="007867FA">
      <w:pPr>
        <w:rPr>
          <w:rFonts w:cs="Times New Roman"/>
        </w:rPr>
      </w:pPr>
    </w:p>
    <w:p w14:paraId="147AAF33" w14:textId="4EB6145A" w:rsidR="007867FA" w:rsidRPr="00FC4688" w:rsidRDefault="0068146E" w:rsidP="007867FA">
      <w:pPr>
        <w:rPr>
          <w:rFonts w:cs="Times New Roman"/>
        </w:rPr>
      </w:pPr>
      <w:r w:rsidRPr="00FC4688">
        <w:rPr>
          <w:rFonts w:cs="Times New Roman"/>
        </w:rPr>
        <w:t xml:space="preserve">Por último, </w:t>
      </w:r>
      <w:r w:rsidR="007867FA" w:rsidRPr="00FC4688">
        <w:rPr>
          <w:rFonts w:cs="Times New Roman"/>
        </w:rPr>
        <w:t>las destinadas a protección del medio ambiente y las actividades recreativas, cultura y religión</w:t>
      </w:r>
      <w:r w:rsidRPr="00FC4688">
        <w:rPr>
          <w:rFonts w:cs="Times New Roman"/>
        </w:rPr>
        <w:t xml:space="preserve"> </w:t>
      </w:r>
      <w:r w:rsidR="007867FA" w:rsidRPr="00FC4688">
        <w:rPr>
          <w:rFonts w:cs="Times New Roman"/>
        </w:rPr>
        <w:t>ascienden a Q960.3 millones y Q812.5 millones respectivamente con incrementos de 16.2% (Q133.9 millones) y de 11.4% (Q83.4 millones).</w:t>
      </w:r>
    </w:p>
    <w:p w14:paraId="228579F4" w14:textId="742B4AA4" w:rsidR="00DA2A6D" w:rsidRPr="00FC4688" w:rsidRDefault="00DA2A6D" w:rsidP="00CD34D6">
      <w:pPr>
        <w:rPr>
          <w:rFonts w:cs="Times New Roman"/>
        </w:rPr>
      </w:pPr>
    </w:p>
    <w:p w14:paraId="75A44C38" w14:textId="2A00FE8F" w:rsidR="00513B56" w:rsidRPr="00FC4688" w:rsidRDefault="00513B56" w:rsidP="00C56688">
      <w:pPr>
        <w:pStyle w:val="Ttulo2"/>
        <w:numPr>
          <w:ilvl w:val="1"/>
          <w:numId w:val="12"/>
        </w:numPr>
        <w:tabs>
          <w:tab w:val="left" w:pos="426"/>
        </w:tabs>
        <w:spacing w:before="0"/>
        <w:rPr>
          <w:rFonts w:ascii="Times New Roman" w:hAnsi="Times New Roman" w:cs="Times New Roman"/>
          <w:color w:val="auto"/>
          <w:sz w:val="24"/>
        </w:rPr>
      </w:pPr>
      <w:bookmarkStart w:id="952" w:name="_Toc117781298"/>
      <w:r w:rsidRPr="00FC4688">
        <w:rPr>
          <w:rFonts w:ascii="Times New Roman" w:hAnsi="Times New Roman" w:cs="Times New Roman"/>
          <w:color w:val="auto"/>
          <w:sz w:val="24"/>
        </w:rPr>
        <w:t>Grado de Ejecución</w:t>
      </w:r>
      <w:r w:rsidR="0040274D" w:rsidRPr="00FC4688">
        <w:rPr>
          <w:rFonts w:ascii="Times New Roman" w:hAnsi="Times New Roman" w:cs="Times New Roman"/>
          <w:color w:val="auto"/>
          <w:sz w:val="24"/>
        </w:rPr>
        <w:t xml:space="preserve"> Presupuestaria</w:t>
      </w:r>
      <w:bookmarkEnd w:id="952"/>
    </w:p>
    <w:p w14:paraId="4604DCA4" w14:textId="398B1969" w:rsidR="007A6928" w:rsidRPr="00FC4688" w:rsidRDefault="0068146E" w:rsidP="007A6928">
      <w:pPr>
        <w:pStyle w:val="Sinespaciado"/>
        <w:jc w:val="both"/>
        <w:rPr>
          <w:rFonts w:ascii="Times New Roman" w:hAnsi="Times New Roman" w:cs="Times New Roman"/>
        </w:rPr>
      </w:pPr>
      <w:r w:rsidRPr="00FC4688">
        <w:rPr>
          <w:rFonts w:cs="Times New Roman"/>
          <w:noProof/>
          <w:sz w:val="18"/>
          <w:szCs w:val="18"/>
          <w:lang w:eastAsia="es-GT"/>
        </w:rPr>
        <w:drawing>
          <wp:anchor distT="0" distB="0" distL="114300" distR="114300" simplePos="0" relativeHeight="251663364" behindDoc="0" locked="0" layoutInCell="1" allowOverlap="1" wp14:anchorId="7F7875A4" wp14:editId="62FA3452">
            <wp:simplePos x="0" y="0"/>
            <wp:positionH relativeFrom="margin">
              <wp:align>right</wp:align>
            </wp:positionH>
            <wp:positionV relativeFrom="page">
              <wp:posOffset>3568747</wp:posOffset>
            </wp:positionV>
            <wp:extent cx="3541395" cy="5420995"/>
            <wp:effectExtent l="0" t="0" r="1905" b="8255"/>
            <wp:wrapSquare wrapText="bothSides"/>
            <wp:docPr id="30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2D4" w:rsidRPr="00FC4688">
        <w:rPr>
          <w:rFonts w:ascii="Times New Roman" w:hAnsi="Times New Roman" w:cs="Times New Roman"/>
        </w:rPr>
        <w:t xml:space="preserve">Con relación a </w:t>
      </w:r>
      <w:r w:rsidR="007A6928" w:rsidRPr="00FC4688">
        <w:rPr>
          <w:rFonts w:ascii="Times New Roman" w:hAnsi="Times New Roman" w:cs="Times New Roman"/>
        </w:rPr>
        <w:t>la</w:t>
      </w:r>
      <w:r w:rsidR="00887A92" w:rsidRPr="00FC4688">
        <w:rPr>
          <w:rFonts w:ascii="Times New Roman" w:hAnsi="Times New Roman" w:cs="Times New Roman"/>
        </w:rPr>
        <w:t xml:space="preserve"> ejecución presupuestaria </w:t>
      </w:r>
      <w:r w:rsidR="00292BAC" w:rsidRPr="00FC4688">
        <w:rPr>
          <w:rFonts w:ascii="Times New Roman" w:hAnsi="Times New Roman" w:cs="Times New Roman"/>
        </w:rPr>
        <w:t xml:space="preserve">por entidades, </w:t>
      </w:r>
      <w:r w:rsidR="007A6928" w:rsidRPr="00FC4688">
        <w:rPr>
          <w:rFonts w:ascii="Times New Roman" w:hAnsi="Times New Roman" w:cs="Times New Roman"/>
        </w:rPr>
        <w:t>las que muestran el mayor nivel de ejecución son: Energía y Minas (96.1%), Educación (72.2%), Presidencia (72.1%), PGN (71.8%), Trabajo (70.6%), Defensa (70.3%), Deuda Pública (70.2%) y Obligaciones (67.7%), todas estas entidades se encuentran por arriba de la ejecución institucional total (66.7%).</w:t>
      </w:r>
    </w:p>
    <w:p w14:paraId="43915F90" w14:textId="77777777" w:rsidR="007A6928" w:rsidRPr="00FC4688" w:rsidRDefault="007A6928" w:rsidP="007A6928">
      <w:pPr>
        <w:pStyle w:val="Sinespaciado"/>
        <w:jc w:val="both"/>
        <w:rPr>
          <w:rFonts w:ascii="Times New Roman" w:hAnsi="Times New Roman" w:cs="Times New Roman"/>
        </w:rPr>
      </w:pPr>
    </w:p>
    <w:p w14:paraId="3B0BE4F0" w14:textId="77777777" w:rsidR="007A6928" w:rsidRPr="00FC4688" w:rsidRDefault="007A6928" w:rsidP="007A6928">
      <w:pPr>
        <w:pStyle w:val="Sinespaciado"/>
        <w:jc w:val="both"/>
        <w:rPr>
          <w:rFonts w:ascii="Times New Roman" w:hAnsi="Times New Roman" w:cs="Times New Roman"/>
        </w:rPr>
      </w:pPr>
      <w:r w:rsidRPr="00FC4688">
        <w:rPr>
          <w:rFonts w:ascii="Times New Roman" w:hAnsi="Times New Roman" w:cs="Times New Roman"/>
        </w:rPr>
        <w:t>Es relevante el caso del Ministerio de Energía y Minas, cuyo presupuesto y nivel de ejecución se ha ido ampliando conforme avanzan los meses y se espera que en octubre nuevamente su presupuesto sea ampliado por Q300 millones por la aprobación de los Decretos 42-2022 y 45-2022 que corresponde al subsidio al diésel y gas propano, respectivamente.</w:t>
      </w:r>
    </w:p>
    <w:p w14:paraId="525AABEB" w14:textId="77777777" w:rsidR="007A6928" w:rsidRPr="00FC4688" w:rsidRDefault="007A6928" w:rsidP="007A6928">
      <w:pPr>
        <w:pStyle w:val="Sinespaciado"/>
        <w:jc w:val="both"/>
        <w:rPr>
          <w:rFonts w:ascii="Times New Roman" w:hAnsi="Times New Roman" w:cs="Times New Roman"/>
        </w:rPr>
      </w:pPr>
    </w:p>
    <w:p w14:paraId="7B824350" w14:textId="77777777" w:rsidR="007A6928" w:rsidRPr="00FC4688" w:rsidRDefault="007A6928" w:rsidP="007A6928">
      <w:pPr>
        <w:pStyle w:val="Sinespaciado"/>
        <w:jc w:val="both"/>
        <w:rPr>
          <w:rFonts w:ascii="Times New Roman" w:hAnsi="Times New Roman" w:cs="Times New Roman"/>
          <w:color w:val="FF0000"/>
        </w:rPr>
      </w:pPr>
      <w:r w:rsidRPr="00FC4688">
        <w:rPr>
          <w:rFonts w:ascii="Times New Roman" w:hAnsi="Times New Roman" w:cs="Times New Roman"/>
        </w:rPr>
        <w:t>Por su parte, el resto de las entidades se encuentran por debajo de la ejecución total, el caso más destacado es Cultura y Deportes (53.5%) y Comunicaciones (48.0%).</w:t>
      </w:r>
    </w:p>
    <w:p w14:paraId="0BFF2748" w14:textId="4F5D584F" w:rsidR="00197C75" w:rsidRPr="00FC4688" w:rsidRDefault="00197C75" w:rsidP="007A6928">
      <w:pPr>
        <w:pStyle w:val="Sinespaciado"/>
        <w:jc w:val="both"/>
        <w:rPr>
          <w:rFonts w:ascii="Times New Roman" w:hAnsi="Times New Roman" w:cs="Times New Roman"/>
        </w:rPr>
      </w:pPr>
    </w:p>
    <w:p w14:paraId="50554470" w14:textId="3FB2E665" w:rsidR="008B017C" w:rsidRPr="00FC4688" w:rsidRDefault="008B017C" w:rsidP="008B017C">
      <w:pPr>
        <w:pStyle w:val="Sinespaciado"/>
        <w:jc w:val="both"/>
        <w:rPr>
          <w:rFonts w:ascii="Times New Roman" w:hAnsi="Times New Roman" w:cs="Times New Roman"/>
        </w:rPr>
      </w:pPr>
    </w:p>
    <w:p w14:paraId="5924DD27" w14:textId="77777777" w:rsidR="007A6928" w:rsidRPr="00FC4688" w:rsidRDefault="007A6928" w:rsidP="008B017C">
      <w:pPr>
        <w:pStyle w:val="Sinespaciado"/>
        <w:jc w:val="both"/>
        <w:rPr>
          <w:rFonts w:ascii="Times New Roman" w:hAnsi="Times New Roman" w:cs="Times New Roman"/>
        </w:rPr>
      </w:pPr>
    </w:p>
    <w:p w14:paraId="52BCA69A" w14:textId="77777777" w:rsidR="007A6928" w:rsidRPr="00FC4688" w:rsidRDefault="007A6928" w:rsidP="008B017C">
      <w:pPr>
        <w:pStyle w:val="Sinespaciado"/>
        <w:jc w:val="both"/>
        <w:rPr>
          <w:rFonts w:ascii="Times New Roman" w:hAnsi="Times New Roman" w:cs="Times New Roman"/>
        </w:rPr>
      </w:pPr>
    </w:p>
    <w:p w14:paraId="61B96F35" w14:textId="77777777" w:rsidR="007A6928" w:rsidRPr="00FC4688" w:rsidRDefault="007A6928" w:rsidP="008B017C">
      <w:pPr>
        <w:pStyle w:val="Sinespaciado"/>
        <w:jc w:val="both"/>
        <w:rPr>
          <w:rFonts w:ascii="Times New Roman" w:hAnsi="Times New Roman" w:cs="Times New Roman"/>
        </w:rPr>
      </w:pPr>
    </w:p>
    <w:p w14:paraId="7F58D631" w14:textId="77777777" w:rsidR="007A6928" w:rsidRPr="00FC4688" w:rsidRDefault="007A6928" w:rsidP="008B017C">
      <w:pPr>
        <w:pStyle w:val="Sinespaciado"/>
        <w:jc w:val="both"/>
        <w:rPr>
          <w:rFonts w:ascii="Times New Roman" w:hAnsi="Times New Roman" w:cs="Times New Roman"/>
        </w:rPr>
      </w:pPr>
    </w:p>
    <w:p w14:paraId="0EC1FA5E" w14:textId="77777777" w:rsidR="00AA50E7" w:rsidRPr="00FC4688" w:rsidRDefault="00AA50E7" w:rsidP="008B017C">
      <w:pPr>
        <w:pStyle w:val="Sinespaciado"/>
        <w:jc w:val="both"/>
        <w:rPr>
          <w:rFonts w:ascii="Times New Roman" w:hAnsi="Times New Roman" w:cs="Times New Roman"/>
        </w:rPr>
      </w:pPr>
    </w:p>
    <w:p w14:paraId="63F74DC4" w14:textId="77777777" w:rsidR="00380981" w:rsidRPr="00FC4688" w:rsidRDefault="00C84436" w:rsidP="00C17472">
      <w:pPr>
        <w:pStyle w:val="Prrafodelista"/>
        <w:numPr>
          <w:ilvl w:val="0"/>
          <w:numId w:val="1"/>
        </w:numPr>
        <w:ind w:left="426" w:hanging="426"/>
        <w:outlineLvl w:val="0"/>
        <w:rPr>
          <w:rFonts w:cs="Times New Roman"/>
          <w:b/>
          <w:sz w:val="24"/>
          <w:lang w:val="es-MX"/>
        </w:rPr>
      </w:pPr>
      <w:bookmarkStart w:id="953" w:name="_Toc117781299"/>
      <w:r w:rsidRPr="00FC4688">
        <w:rPr>
          <w:rFonts w:cs="Times New Roman"/>
          <w:b/>
          <w:sz w:val="24"/>
          <w:lang w:val="es-MX"/>
        </w:rPr>
        <w:lastRenderedPageBreak/>
        <w:t>Resultado Fiscal</w:t>
      </w:r>
      <w:bookmarkEnd w:id="953"/>
      <w:r w:rsidRPr="00FC4688">
        <w:rPr>
          <w:rFonts w:cs="Times New Roman"/>
          <w:b/>
          <w:sz w:val="24"/>
          <w:lang w:val="es-MX"/>
        </w:rPr>
        <w:t xml:space="preserve"> </w:t>
      </w:r>
    </w:p>
    <w:p w14:paraId="216F3BF0" w14:textId="77777777" w:rsidR="00C84436" w:rsidRPr="00FC4688" w:rsidRDefault="005F5E9E" w:rsidP="00D319A6">
      <w:pPr>
        <w:rPr>
          <w:rFonts w:eastAsiaTheme="majorEastAsia" w:cs="Times New Roman"/>
          <w:b/>
          <w:bCs/>
          <w:sz w:val="24"/>
          <w:szCs w:val="26"/>
        </w:rPr>
      </w:pPr>
      <w:bookmarkStart w:id="954" w:name="_Toc42023982"/>
      <w:bookmarkStart w:id="955" w:name="_Toc42024033"/>
      <w:bookmarkEnd w:id="954"/>
      <w:bookmarkEnd w:id="955"/>
      <w:r w:rsidRPr="00FC4688">
        <w:rPr>
          <w:rFonts w:eastAsiaTheme="majorEastAsia"/>
          <w:noProof/>
          <w:lang w:eastAsia="es-GT"/>
        </w:rPr>
        <w:drawing>
          <wp:inline distT="0" distB="0" distL="0" distR="0" wp14:anchorId="53C2D341" wp14:editId="1EF724EF">
            <wp:extent cx="5836920" cy="1854200"/>
            <wp:effectExtent l="76200" t="57150" r="87630" b="107950"/>
            <wp:docPr id="27" name="Diagrama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  <w:bookmarkStart w:id="956" w:name="_Toc31624513"/>
      <w:bookmarkStart w:id="957" w:name="_Toc31625365"/>
      <w:bookmarkStart w:id="958" w:name="_Toc31626820"/>
      <w:bookmarkStart w:id="959" w:name="_Toc31811271"/>
      <w:bookmarkStart w:id="960" w:name="_Toc31811725"/>
      <w:bookmarkStart w:id="961" w:name="_Toc31971888"/>
      <w:bookmarkStart w:id="962" w:name="_Toc32230910"/>
      <w:bookmarkStart w:id="963" w:name="_Toc33109798"/>
      <w:bookmarkStart w:id="964" w:name="_Toc33109840"/>
      <w:bookmarkStart w:id="965" w:name="_Toc33180561"/>
      <w:bookmarkStart w:id="966" w:name="_Toc33180655"/>
      <w:bookmarkStart w:id="967" w:name="_Toc33193552"/>
      <w:bookmarkStart w:id="968" w:name="_Toc33193591"/>
      <w:bookmarkStart w:id="969" w:name="_Toc33196788"/>
      <w:bookmarkStart w:id="970" w:name="_Toc40691764"/>
      <w:bookmarkStart w:id="971" w:name="_Toc40959164"/>
      <w:bookmarkStart w:id="972" w:name="_Toc40975998"/>
      <w:bookmarkStart w:id="973" w:name="_Toc40976067"/>
      <w:bookmarkStart w:id="974" w:name="_Toc40993323"/>
      <w:bookmarkStart w:id="975" w:name="_Toc40993705"/>
      <w:bookmarkStart w:id="976" w:name="_Toc41037581"/>
      <w:bookmarkStart w:id="977" w:name="_Toc41254141"/>
      <w:bookmarkStart w:id="978" w:name="_Toc41254173"/>
      <w:bookmarkStart w:id="979" w:name="_Toc41254193"/>
      <w:bookmarkStart w:id="980" w:name="_Toc42023983"/>
      <w:bookmarkStart w:id="981" w:name="_Toc42024034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</w:p>
    <w:p w14:paraId="435B279A" w14:textId="77777777" w:rsidR="00182B79" w:rsidRPr="00FC4688" w:rsidRDefault="00182B79" w:rsidP="00182B79">
      <w:pPr>
        <w:pStyle w:val="Prrafodelista"/>
        <w:keepNext/>
        <w:keepLines/>
        <w:numPr>
          <w:ilvl w:val="0"/>
          <w:numId w:val="43"/>
        </w:numPr>
        <w:spacing w:after="120"/>
        <w:contextualSpacing w:val="0"/>
        <w:outlineLvl w:val="1"/>
        <w:rPr>
          <w:rFonts w:eastAsiaTheme="majorEastAsia" w:cs="Times New Roman"/>
          <w:b/>
          <w:bCs/>
          <w:vanish/>
          <w:sz w:val="24"/>
          <w:szCs w:val="26"/>
          <w:lang w:eastAsia="es-ES"/>
        </w:rPr>
      </w:pPr>
      <w:bookmarkStart w:id="982" w:name="_Toc42069123"/>
      <w:bookmarkStart w:id="983" w:name="_Toc49422069"/>
      <w:bookmarkStart w:id="984" w:name="_Toc49422095"/>
      <w:bookmarkStart w:id="985" w:name="_Toc49430674"/>
      <w:bookmarkStart w:id="986" w:name="_Toc49430700"/>
      <w:bookmarkStart w:id="987" w:name="_Toc49750477"/>
      <w:bookmarkStart w:id="988" w:name="_Toc49750727"/>
      <w:bookmarkStart w:id="989" w:name="_Toc49750755"/>
      <w:bookmarkStart w:id="990" w:name="_Toc55284841"/>
      <w:bookmarkStart w:id="991" w:name="_Toc55298859"/>
      <w:bookmarkStart w:id="992" w:name="_Toc55373842"/>
      <w:bookmarkStart w:id="993" w:name="_Toc55374018"/>
      <w:bookmarkStart w:id="994" w:name="_Toc55375155"/>
      <w:bookmarkStart w:id="995" w:name="_Toc55396563"/>
      <w:bookmarkStart w:id="996" w:name="_Toc65230560"/>
      <w:bookmarkStart w:id="997" w:name="_Toc65230798"/>
      <w:bookmarkStart w:id="998" w:name="_Toc65232082"/>
      <w:bookmarkStart w:id="999" w:name="_Toc65232327"/>
      <w:bookmarkStart w:id="1000" w:name="_Toc66716186"/>
      <w:bookmarkStart w:id="1001" w:name="_Toc71097230"/>
      <w:bookmarkStart w:id="1002" w:name="_Toc71097261"/>
      <w:bookmarkStart w:id="1003" w:name="_Toc71097336"/>
      <w:bookmarkStart w:id="1004" w:name="_Toc71108076"/>
      <w:bookmarkStart w:id="1005" w:name="_Toc79055270"/>
      <w:bookmarkStart w:id="1006" w:name="_Toc79055301"/>
      <w:bookmarkStart w:id="1007" w:name="_Toc79060192"/>
      <w:bookmarkStart w:id="1008" w:name="_Toc79060479"/>
      <w:bookmarkStart w:id="1009" w:name="_Toc81307836"/>
      <w:bookmarkStart w:id="1010" w:name="_Toc83376497"/>
      <w:bookmarkStart w:id="1011" w:name="_Toc86386736"/>
      <w:bookmarkStart w:id="1012" w:name="_Toc86405422"/>
      <w:bookmarkStart w:id="1013" w:name="_Toc98162452"/>
      <w:bookmarkStart w:id="1014" w:name="_Toc98162484"/>
      <w:bookmarkStart w:id="1015" w:name="_Toc98235010"/>
      <w:bookmarkStart w:id="1016" w:name="_Toc98235205"/>
      <w:bookmarkStart w:id="1017" w:name="_Toc98235290"/>
      <w:bookmarkStart w:id="1018" w:name="_Toc98757160"/>
      <w:bookmarkStart w:id="1019" w:name="_Toc101874715"/>
      <w:bookmarkStart w:id="1020" w:name="_Toc101954171"/>
      <w:bookmarkStart w:id="1021" w:name="_Toc101971988"/>
      <w:bookmarkStart w:id="1022" w:name="_Toc101974080"/>
      <w:bookmarkStart w:id="1023" w:name="_Toc102039765"/>
      <w:bookmarkStart w:id="1024" w:name="_Toc102039803"/>
      <w:bookmarkStart w:id="1025" w:name="_Toc102039843"/>
      <w:bookmarkStart w:id="1026" w:name="_Toc102039874"/>
      <w:bookmarkStart w:id="1027" w:name="_Toc102040932"/>
      <w:bookmarkStart w:id="1028" w:name="_Toc102477780"/>
      <w:bookmarkStart w:id="1029" w:name="_Toc102477811"/>
      <w:bookmarkStart w:id="1030" w:name="_Toc109824841"/>
      <w:bookmarkStart w:id="1031" w:name="_Toc109828797"/>
      <w:bookmarkStart w:id="1032" w:name="_Toc109828860"/>
      <w:bookmarkStart w:id="1033" w:name="_Toc109829036"/>
      <w:bookmarkStart w:id="1034" w:name="_Toc109829067"/>
      <w:bookmarkStart w:id="1035" w:name="_Toc109833911"/>
      <w:bookmarkStart w:id="1036" w:name="_Toc110237454"/>
      <w:bookmarkStart w:id="1037" w:name="_Toc117775331"/>
      <w:bookmarkStart w:id="1038" w:name="_Toc117781300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</w:p>
    <w:p w14:paraId="1B0B0861" w14:textId="72C7AB2B" w:rsidR="00364844" w:rsidRPr="00FC4688" w:rsidRDefault="00BD6585" w:rsidP="00D11ADD">
      <w:pPr>
        <w:pStyle w:val="Ttulo2"/>
        <w:numPr>
          <w:ilvl w:val="1"/>
          <w:numId w:val="43"/>
        </w:numPr>
        <w:tabs>
          <w:tab w:val="left" w:pos="426"/>
        </w:tabs>
        <w:spacing w:before="0"/>
        <w:ind w:left="284" w:hanging="284"/>
        <w:rPr>
          <w:rFonts w:ascii="Times New Roman" w:hAnsi="Times New Roman" w:cs="Times New Roman"/>
          <w:color w:val="auto"/>
          <w:sz w:val="24"/>
        </w:rPr>
      </w:pPr>
      <w:bookmarkStart w:id="1039" w:name="_Toc117781301"/>
      <w:r w:rsidRPr="00FC4688">
        <w:rPr>
          <w:rFonts w:ascii="Times New Roman" w:hAnsi="Times New Roman" w:cs="Times New Roman"/>
          <w:color w:val="auto"/>
          <w:sz w:val="24"/>
        </w:rPr>
        <w:t>R</w:t>
      </w:r>
      <w:r w:rsidR="00540B30" w:rsidRPr="00FC4688">
        <w:rPr>
          <w:rFonts w:ascii="Times New Roman" w:hAnsi="Times New Roman" w:cs="Times New Roman"/>
          <w:color w:val="auto"/>
          <w:sz w:val="24"/>
        </w:rPr>
        <w:t xml:space="preserve">esultado </w:t>
      </w:r>
      <w:r w:rsidR="003C3E6F" w:rsidRPr="00FC4688">
        <w:rPr>
          <w:rFonts w:ascii="Times New Roman" w:hAnsi="Times New Roman" w:cs="Times New Roman"/>
          <w:color w:val="auto"/>
          <w:sz w:val="24"/>
        </w:rPr>
        <w:t>O</w:t>
      </w:r>
      <w:r w:rsidR="00540B30" w:rsidRPr="00FC4688">
        <w:rPr>
          <w:rFonts w:ascii="Times New Roman" w:hAnsi="Times New Roman" w:cs="Times New Roman"/>
          <w:color w:val="auto"/>
          <w:sz w:val="24"/>
        </w:rPr>
        <w:t>perativo</w:t>
      </w:r>
      <w:r w:rsidR="00EE52DF" w:rsidRPr="00FC4688">
        <w:rPr>
          <w:rFonts w:ascii="Times New Roman" w:hAnsi="Times New Roman" w:cs="Times New Roman"/>
          <w:color w:val="auto"/>
          <w:sz w:val="24"/>
        </w:rPr>
        <w:t xml:space="preserve"> </w:t>
      </w:r>
      <w:bookmarkEnd w:id="522"/>
      <w:r w:rsidR="00CF45E5" w:rsidRPr="00FC4688">
        <w:rPr>
          <w:rFonts w:ascii="Times New Roman" w:hAnsi="Times New Roman" w:cs="Times New Roman"/>
          <w:color w:val="auto"/>
          <w:sz w:val="24"/>
        </w:rPr>
        <w:t>es negativo</w:t>
      </w:r>
      <w:bookmarkEnd w:id="1039"/>
    </w:p>
    <w:p w14:paraId="453D35AE" w14:textId="7F0A6906" w:rsidR="00BB3A21" w:rsidRPr="00FC4688" w:rsidRDefault="005D1254" w:rsidP="0045490A">
      <w:pPr>
        <w:pStyle w:val="Sinespaciado"/>
        <w:jc w:val="both"/>
        <w:rPr>
          <w:rFonts w:ascii="Times New Roman" w:hAnsi="Times New Roman" w:cs="Times New Roman"/>
        </w:rPr>
      </w:pPr>
      <w:r w:rsidRPr="00FC4688">
        <w:rPr>
          <w:rFonts w:ascii="Times New Roman" w:hAnsi="Times New Roman" w:cs="Times New Roman"/>
        </w:rPr>
        <w:t>Al finalizar el tercer trimestre del 2022, se observa que el</w:t>
      </w:r>
      <w:r w:rsidR="00710043" w:rsidRPr="00FC4688">
        <w:rPr>
          <w:rFonts w:ascii="Times New Roman" w:hAnsi="Times New Roman" w:cs="Times New Roman"/>
        </w:rPr>
        <w:t xml:space="preserve"> resultado operativo </w:t>
      </w:r>
      <w:r w:rsidR="008A10F4" w:rsidRPr="00FC4688">
        <w:rPr>
          <w:rFonts w:ascii="Times New Roman" w:hAnsi="Times New Roman" w:cs="Times New Roman"/>
        </w:rPr>
        <w:t>es negativo</w:t>
      </w:r>
      <w:r w:rsidR="0099162B" w:rsidRPr="00FC4688">
        <w:rPr>
          <w:rFonts w:ascii="Times New Roman" w:hAnsi="Times New Roman" w:cs="Times New Roman"/>
        </w:rPr>
        <w:t xml:space="preserve"> </w:t>
      </w:r>
      <w:r w:rsidR="008A10F4" w:rsidRPr="00FC4688">
        <w:rPr>
          <w:rFonts w:ascii="Times New Roman" w:hAnsi="Times New Roman" w:cs="Times New Roman"/>
        </w:rPr>
        <w:t>por</w:t>
      </w:r>
      <w:r w:rsidR="007A0181" w:rsidRPr="00FC4688">
        <w:rPr>
          <w:rFonts w:ascii="Times New Roman" w:hAnsi="Times New Roman" w:cs="Times New Roman"/>
        </w:rPr>
        <w:t xml:space="preserve"> Q</w:t>
      </w:r>
      <w:r w:rsidR="008A10F4" w:rsidRPr="00FC4688">
        <w:rPr>
          <w:rFonts w:ascii="Times New Roman" w:hAnsi="Times New Roman" w:cs="Times New Roman"/>
        </w:rPr>
        <w:t xml:space="preserve">1,928.8 </w:t>
      </w:r>
      <w:r w:rsidR="007A0181" w:rsidRPr="00FC4688">
        <w:rPr>
          <w:rFonts w:ascii="Times New Roman" w:hAnsi="Times New Roman" w:cs="Times New Roman"/>
        </w:rPr>
        <w:t>millones</w:t>
      </w:r>
      <w:r w:rsidR="004B4F1A" w:rsidRPr="00FC4688">
        <w:rPr>
          <w:rFonts w:ascii="Times New Roman" w:hAnsi="Times New Roman" w:cs="Times New Roman"/>
        </w:rPr>
        <w:t xml:space="preserve"> mientras </w:t>
      </w:r>
      <w:r w:rsidR="00982217" w:rsidRPr="00FC4688">
        <w:rPr>
          <w:rFonts w:ascii="Times New Roman" w:hAnsi="Times New Roman" w:cs="Times New Roman"/>
        </w:rPr>
        <w:t>que,</w:t>
      </w:r>
      <w:r w:rsidR="00816E4D" w:rsidRPr="00FC4688">
        <w:rPr>
          <w:rFonts w:ascii="Times New Roman" w:hAnsi="Times New Roman" w:cs="Times New Roman"/>
        </w:rPr>
        <w:t xml:space="preserve"> en el año previo</w:t>
      </w:r>
      <w:r w:rsidR="00082DFF" w:rsidRPr="00FC4688">
        <w:rPr>
          <w:rFonts w:ascii="Times New Roman" w:hAnsi="Times New Roman" w:cs="Times New Roman"/>
        </w:rPr>
        <w:t>, este se situaba en un valor negativo por</w:t>
      </w:r>
      <w:r w:rsidR="00816E4D" w:rsidRPr="00FC4688">
        <w:rPr>
          <w:rFonts w:ascii="Times New Roman" w:hAnsi="Times New Roman" w:cs="Times New Roman"/>
        </w:rPr>
        <w:t xml:space="preserve"> Q</w:t>
      </w:r>
      <w:r w:rsidR="00BB3A21" w:rsidRPr="00FC4688">
        <w:rPr>
          <w:rFonts w:ascii="Times New Roman" w:hAnsi="Times New Roman" w:cs="Times New Roman"/>
        </w:rPr>
        <w:t>1,428.0 millones</w:t>
      </w:r>
      <w:r w:rsidR="004B4F1A" w:rsidRPr="00FC4688">
        <w:rPr>
          <w:rFonts w:ascii="Times New Roman" w:hAnsi="Times New Roman" w:cs="Times New Roman"/>
        </w:rPr>
        <w:t>.</w:t>
      </w:r>
      <w:r w:rsidR="00BB3A21" w:rsidRPr="00FC4688">
        <w:rPr>
          <w:rFonts w:ascii="Times New Roman" w:hAnsi="Times New Roman" w:cs="Times New Roman"/>
        </w:rPr>
        <w:t xml:space="preserve"> </w:t>
      </w:r>
    </w:p>
    <w:p w14:paraId="5703A0BB" w14:textId="77777777" w:rsidR="00BB3A21" w:rsidRPr="00FC4688" w:rsidRDefault="00BB3A21" w:rsidP="0045490A">
      <w:pPr>
        <w:pStyle w:val="Sinespaciado"/>
        <w:jc w:val="both"/>
        <w:rPr>
          <w:rFonts w:ascii="Times New Roman" w:hAnsi="Times New Roman" w:cs="Times New Roman"/>
        </w:rPr>
      </w:pPr>
    </w:p>
    <w:p w14:paraId="60D0EA53" w14:textId="11A87231" w:rsidR="00973029" w:rsidRPr="00FC4688" w:rsidRDefault="00BB3A21" w:rsidP="0045490A">
      <w:pPr>
        <w:pStyle w:val="Sinespaciado"/>
        <w:jc w:val="both"/>
        <w:rPr>
          <w:rFonts w:ascii="Times New Roman" w:hAnsi="Times New Roman" w:cs="Times New Roman"/>
        </w:rPr>
      </w:pPr>
      <w:r w:rsidRPr="00FC4688">
        <w:rPr>
          <w:rFonts w:ascii="Times New Roman" w:hAnsi="Times New Roman" w:cs="Times New Roman"/>
        </w:rPr>
        <w:t xml:space="preserve">El </w:t>
      </w:r>
      <w:r w:rsidR="00976100" w:rsidRPr="00FC4688">
        <w:rPr>
          <w:rFonts w:ascii="Times New Roman" w:hAnsi="Times New Roman" w:cs="Times New Roman"/>
        </w:rPr>
        <w:t xml:space="preserve">resultado operativo primario (sin considerar el pago de intereses) es </w:t>
      </w:r>
      <w:r w:rsidR="00881C20" w:rsidRPr="00FC4688">
        <w:rPr>
          <w:rFonts w:ascii="Times New Roman" w:hAnsi="Times New Roman" w:cs="Times New Roman"/>
        </w:rPr>
        <w:t>positivo</w:t>
      </w:r>
      <w:r w:rsidR="0079278F" w:rsidRPr="00FC4688">
        <w:rPr>
          <w:rFonts w:ascii="Times New Roman" w:hAnsi="Times New Roman" w:cs="Times New Roman"/>
        </w:rPr>
        <w:t xml:space="preserve"> al finalizar septiembre, situándose</w:t>
      </w:r>
      <w:r w:rsidR="00881C20" w:rsidRPr="00FC4688">
        <w:rPr>
          <w:rFonts w:ascii="Times New Roman" w:hAnsi="Times New Roman" w:cs="Times New Roman"/>
        </w:rPr>
        <w:t xml:space="preserve"> en</w:t>
      </w:r>
      <w:r w:rsidR="00976100" w:rsidRPr="00FC4688">
        <w:rPr>
          <w:rFonts w:ascii="Times New Roman" w:hAnsi="Times New Roman" w:cs="Times New Roman"/>
        </w:rPr>
        <w:t xml:space="preserve"> Q</w:t>
      </w:r>
      <w:r w:rsidR="00982217" w:rsidRPr="00FC4688">
        <w:rPr>
          <w:rFonts w:ascii="Times New Roman" w:hAnsi="Times New Roman" w:cs="Times New Roman"/>
        </w:rPr>
        <w:t>6,521.2</w:t>
      </w:r>
      <w:r w:rsidR="002E0A4A" w:rsidRPr="00FC4688">
        <w:rPr>
          <w:rFonts w:ascii="Times New Roman" w:hAnsi="Times New Roman" w:cs="Times New Roman"/>
        </w:rPr>
        <w:t xml:space="preserve"> millones</w:t>
      </w:r>
      <w:r w:rsidR="002D3612" w:rsidRPr="00FC4688">
        <w:rPr>
          <w:rFonts w:ascii="Times New Roman" w:hAnsi="Times New Roman" w:cs="Times New Roman"/>
        </w:rPr>
        <w:t xml:space="preserve"> </w:t>
      </w:r>
      <w:r w:rsidR="00881C20" w:rsidRPr="00FC4688">
        <w:rPr>
          <w:rFonts w:ascii="Times New Roman" w:hAnsi="Times New Roman" w:cs="Times New Roman"/>
        </w:rPr>
        <w:t xml:space="preserve">y </w:t>
      </w:r>
      <w:r w:rsidR="00982217" w:rsidRPr="00FC4688">
        <w:rPr>
          <w:rFonts w:ascii="Times New Roman" w:hAnsi="Times New Roman" w:cs="Times New Roman"/>
        </w:rPr>
        <w:t xml:space="preserve">el año previo </w:t>
      </w:r>
      <w:r w:rsidR="0079278F" w:rsidRPr="00FC4688">
        <w:rPr>
          <w:rFonts w:ascii="Times New Roman" w:hAnsi="Times New Roman" w:cs="Times New Roman"/>
        </w:rPr>
        <w:t xml:space="preserve">este </w:t>
      </w:r>
      <w:r w:rsidR="00982217" w:rsidRPr="00FC4688">
        <w:rPr>
          <w:rFonts w:ascii="Times New Roman" w:hAnsi="Times New Roman" w:cs="Times New Roman"/>
        </w:rPr>
        <w:t xml:space="preserve">había sido positivo por </w:t>
      </w:r>
      <w:r w:rsidR="002D3612" w:rsidRPr="00FC4688">
        <w:rPr>
          <w:rFonts w:ascii="Times New Roman" w:hAnsi="Times New Roman" w:cs="Times New Roman"/>
        </w:rPr>
        <w:t>Q</w:t>
      </w:r>
      <w:r w:rsidR="00982217" w:rsidRPr="00FC4688">
        <w:t xml:space="preserve"> </w:t>
      </w:r>
      <w:r w:rsidR="00982217" w:rsidRPr="00FC4688">
        <w:rPr>
          <w:rFonts w:ascii="Times New Roman" w:hAnsi="Times New Roman" w:cs="Times New Roman"/>
        </w:rPr>
        <w:t>6,387.7</w:t>
      </w:r>
      <w:r w:rsidR="00705FBF" w:rsidRPr="00FC4688">
        <w:rPr>
          <w:rFonts w:ascii="Times New Roman" w:hAnsi="Times New Roman" w:cs="Times New Roman"/>
        </w:rPr>
        <w:t xml:space="preserve"> millones</w:t>
      </w:r>
      <w:r w:rsidR="005A2B12" w:rsidRPr="00FC4688">
        <w:rPr>
          <w:rFonts w:ascii="Times New Roman" w:hAnsi="Times New Roman" w:cs="Times New Roman"/>
        </w:rPr>
        <w:t>.</w:t>
      </w:r>
    </w:p>
    <w:p w14:paraId="0C721065" w14:textId="77777777" w:rsidR="00973029" w:rsidRPr="00FC4688" w:rsidRDefault="00973029" w:rsidP="0045490A">
      <w:pPr>
        <w:pStyle w:val="Sinespaciado"/>
        <w:jc w:val="both"/>
        <w:rPr>
          <w:rFonts w:ascii="Times New Roman" w:hAnsi="Times New Roman" w:cs="Times New Roman"/>
        </w:rPr>
      </w:pPr>
    </w:p>
    <w:p w14:paraId="10242320" w14:textId="55BA7B3A" w:rsidR="00374C59" w:rsidRPr="00FC4688" w:rsidRDefault="00CF45E5" w:rsidP="00D11ADD">
      <w:pPr>
        <w:pStyle w:val="Ttulo2"/>
        <w:numPr>
          <w:ilvl w:val="1"/>
          <w:numId w:val="43"/>
        </w:numPr>
        <w:tabs>
          <w:tab w:val="left" w:pos="426"/>
        </w:tabs>
        <w:spacing w:before="0"/>
        <w:ind w:left="284" w:hanging="284"/>
        <w:rPr>
          <w:rFonts w:ascii="Times New Roman" w:hAnsi="Times New Roman" w:cs="Times New Roman"/>
          <w:color w:val="auto"/>
          <w:sz w:val="24"/>
        </w:rPr>
      </w:pPr>
      <w:bookmarkStart w:id="1040" w:name="_Toc117781302"/>
      <w:r w:rsidRPr="00FC4688">
        <w:rPr>
          <w:rFonts w:ascii="Times New Roman" w:hAnsi="Times New Roman" w:cs="Times New Roman"/>
          <w:color w:val="auto"/>
          <w:sz w:val="24"/>
        </w:rPr>
        <w:t xml:space="preserve">Hay </w:t>
      </w:r>
      <w:r w:rsidR="007024F0" w:rsidRPr="00FC4688">
        <w:rPr>
          <w:rFonts w:ascii="Times New Roman" w:hAnsi="Times New Roman" w:cs="Times New Roman"/>
          <w:color w:val="auto"/>
          <w:sz w:val="24"/>
        </w:rPr>
        <w:t>déficit</w:t>
      </w:r>
      <w:r w:rsidRPr="00FC4688">
        <w:rPr>
          <w:rFonts w:ascii="Times New Roman" w:hAnsi="Times New Roman" w:cs="Times New Roman"/>
          <w:color w:val="auto"/>
          <w:sz w:val="24"/>
        </w:rPr>
        <w:t xml:space="preserve"> al </w:t>
      </w:r>
      <w:r w:rsidR="004911A4" w:rsidRPr="00FC4688">
        <w:rPr>
          <w:rFonts w:ascii="Times New Roman" w:hAnsi="Times New Roman" w:cs="Times New Roman"/>
          <w:color w:val="auto"/>
          <w:sz w:val="24"/>
        </w:rPr>
        <w:t>finalizar el tercer trimestre 2022</w:t>
      </w:r>
      <w:bookmarkEnd w:id="1040"/>
    </w:p>
    <w:p w14:paraId="0B26DAF2" w14:textId="6D56BD48" w:rsidR="00823937" w:rsidRPr="00FC4688" w:rsidRDefault="00C03F60" w:rsidP="00E13EAC">
      <w:pPr>
        <w:pStyle w:val="Sinespaciado"/>
        <w:jc w:val="both"/>
        <w:rPr>
          <w:rFonts w:ascii="Times New Roman" w:hAnsi="Times New Roman" w:cs="Times New Roman"/>
        </w:rPr>
      </w:pPr>
      <w:r w:rsidRPr="00FC4688">
        <w:rPr>
          <w:rFonts w:ascii="Times New Roman" w:hAnsi="Times New Roman" w:cs="Times New Roman"/>
        </w:rPr>
        <w:t>En materia</w:t>
      </w:r>
      <w:r w:rsidR="0087647F" w:rsidRPr="00FC4688">
        <w:rPr>
          <w:rFonts w:ascii="Times New Roman" w:hAnsi="Times New Roman" w:cs="Times New Roman"/>
        </w:rPr>
        <w:t xml:space="preserve"> </w:t>
      </w:r>
      <w:r w:rsidR="00CA0CF4" w:rsidRPr="00FC4688">
        <w:rPr>
          <w:rFonts w:ascii="Times New Roman" w:hAnsi="Times New Roman" w:cs="Times New Roman"/>
        </w:rPr>
        <w:t>global</w:t>
      </w:r>
      <w:r w:rsidR="00F55BC5" w:rsidRPr="00FC4688">
        <w:rPr>
          <w:rFonts w:ascii="Times New Roman" w:hAnsi="Times New Roman" w:cs="Times New Roman"/>
        </w:rPr>
        <w:t>,</w:t>
      </w:r>
      <w:r w:rsidR="00CA0CF4" w:rsidRPr="00FC4688">
        <w:rPr>
          <w:rFonts w:ascii="Times New Roman" w:hAnsi="Times New Roman" w:cs="Times New Roman"/>
        </w:rPr>
        <w:t xml:space="preserve"> se observa que </w:t>
      </w:r>
      <w:r w:rsidR="00B007DB" w:rsidRPr="00FC4688">
        <w:rPr>
          <w:rFonts w:ascii="Times New Roman" w:hAnsi="Times New Roman" w:cs="Times New Roman"/>
        </w:rPr>
        <w:t xml:space="preserve">existe un </w:t>
      </w:r>
      <w:r w:rsidR="006B4253" w:rsidRPr="00FC4688">
        <w:rPr>
          <w:rFonts w:ascii="Times New Roman" w:hAnsi="Times New Roman" w:cs="Times New Roman"/>
        </w:rPr>
        <w:t>endeudamiento</w:t>
      </w:r>
      <w:r w:rsidR="00B007DB" w:rsidRPr="00FC4688">
        <w:rPr>
          <w:rFonts w:ascii="Times New Roman" w:hAnsi="Times New Roman" w:cs="Times New Roman"/>
        </w:rPr>
        <w:t xml:space="preserve"> neto (</w:t>
      </w:r>
      <w:r w:rsidR="006B4253" w:rsidRPr="00FC4688">
        <w:rPr>
          <w:rFonts w:ascii="Times New Roman" w:hAnsi="Times New Roman" w:cs="Times New Roman"/>
        </w:rPr>
        <w:t>déficit</w:t>
      </w:r>
      <w:r w:rsidR="00B007DB" w:rsidRPr="00FC4688">
        <w:rPr>
          <w:rFonts w:ascii="Times New Roman" w:hAnsi="Times New Roman" w:cs="Times New Roman"/>
        </w:rPr>
        <w:t xml:space="preserve"> fiscal) de Q</w:t>
      </w:r>
      <w:r w:rsidR="002D4191" w:rsidRPr="00FC4688">
        <w:rPr>
          <w:rFonts w:ascii="Times New Roman" w:hAnsi="Times New Roman" w:cs="Times New Roman"/>
        </w:rPr>
        <w:t>4,469.0</w:t>
      </w:r>
      <w:r w:rsidR="00B007DB" w:rsidRPr="00FC4688">
        <w:rPr>
          <w:rFonts w:ascii="Times New Roman" w:hAnsi="Times New Roman" w:cs="Times New Roman"/>
        </w:rPr>
        <w:t xml:space="preserve"> millones</w:t>
      </w:r>
      <w:r w:rsidR="006B4253" w:rsidRPr="00FC4688">
        <w:rPr>
          <w:rFonts w:ascii="Times New Roman" w:hAnsi="Times New Roman" w:cs="Times New Roman"/>
        </w:rPr>
        <w:t xml:space="preserve"> </w:t>
      </w:r>
      <w:r w:rsidR="002D4191" w:rsidRPr="00FC4688">
        <w:rPr>
          <w:rFonts w:ascii="Times New Roman" w:hAnsi="Times New Roman" w:cs="Times New Roman"/>
        </w:rPr>
        <w:t>al finalizar septiembre</w:t>
      </w:r>
      <w:r w:rsidR="00996091" w:rsidRPr="00FC4688">
        <w:rPr>
          <w:rFonts w:ascii="Times New Roman" w:hAnsi="Times New Roman" w:cs="Times New Roman"/>
        </w:rPr>
        <w:t xml:space="preserve"> </w:t>
      </w:r>
      <w:r w:rsidR="006B4253" w:rsidRPr="00FC4688">
        <w:rPr>
          <w:rFonts w:ascii="Times New Roman" w:hAnsi="Times New Roman" w:cs="Times New Roman"/>
        </w:rPr>
        <w:t xml:space="preserve">y </w:t>
      </w:r>
      <w:r w:rsidR="00996091" w:rsidRPr="00FC4688">
        <w:rPr>
          <w:rFonts w:ascii="Times New Roman" w:hAnsi="Times New Roman" w:cs="Times New Roman"/>
        </w:rPr>
        <w:t>teniendo un resultado</w:t>
      </w:r>
      <w:r w:rsidR="006F0E5F" w:rsidRPr="00FC4688">
        <w:rPr>
          <w:rFonts w:ascii="Times New Roman" w:hAnsi="Times New Roman" w:cs="Times New Roman"/>
        </w:rPr>
        <w:t xml:space="preserve"> primario </w:t>
      </w:r>
      <w:r w:rsidR="000706ED" w:rsidRPr="00FC4688">
        <w:rPr>
          <w:rFonts w:ascii="Times New Roman" w:hAnsi="Times New Roman" w:cs="Times New Roman"/>
        </w:rPr>
        <w:t xml:space="preserve">positivo por </w:t>
      </w:r>
      <w:r w:rsidR="006F0E5F" w:rsidRPr="00FC4688">
        <w:rPr>
          <w:rFonts w:ascii="Times New Roman" w:hAnsi="Times New Roman" w:cs="Times New Roman"/>
        </w:rPr>
        <w:t>Q</w:t>
      </w:r>
      <w:r w:rsidR="00996091" w:rsidRPr="00FC4688">
        <w:rPr>
          <w:rFonts w:ascii="Times New Roman" w:hAnsi="Times New Roman" w:cs="Times New Roman"/>
        </w:rPr>
        <w:t>3,980.9</w:t>
      </w:r>
      <w:r w:rsidR="006F0E5F" w:rsidRPr="00FC4688">
        <w:rPr>
          <w:rFonts w:ascii="Times New Roman" w:hAnsi="Times New Roman" w:cs="Times New Roman"/>
        </w:rPr>
        <w:t xml:space="preserve"> millones</w:t>
      </w:r>
      <w:r w:rsidR="00451681" w:rsidRPr="00FC4688">
        <w:rPr>
          <w:rFonts w:ascii="Times New Roman" w:hAnsi="Times New Roman" w:cs="Times New Roman"/>
        </w:rPr>
        <w:t>.</w:t>
      </w:r>
      <w:r w:rsidR="00E13EAC" w:rsidRPr="00FC4688">
        <w:rPr>
          <w:rFonts w:ascii="Times New Roman" w:hAnsi="Times New Roman" w:cs="Times New Roman"/>
        </w:rPr>
        <w:t xml:space="preserve"> </w:t>
      </w:r>
    </w:p>
    <w:p w14:paraId="579DEC04" w14:textId="77777777" w:rsidR="00823937" w:rsidRPr="00FC4688" w:rsidRDefault="00823937" w:rsidP="00E13EAC">
      <w:pPr>
        <w:pStyle w:val="Sinespaciado"/>
        <w:jc w:val="both"/>
        <w:rPr>
          <w:rFonts w:ascii="Times New Roman" w:hAnsi="Times New Roman" w:cs="Times New Roman"/>
        </w:rPr>
      </w:pPr>
    </w:p>
    <w:p w14:paraId="16990FF1" w14:textId="0C01EC09" w:rsidR="000F4B0C" w:rsidRPr="00FC4688" w:rsidRDefault="00823937" w:rsidP="00E13EAC">
      <w:pPr>
        <w:pStyle w:val="Sinespaciado"/>
        <w:jc w:val="both"/>
        <w:rPr>
          <w:rFonts w:ascii="Times New Roman" w:hAnsi="Times New Roman" w:cs="Times New Roman"/>
        </w:rPr>
      </w:pPr>
      <w:r w:rsidRPr="00FC4688">
        <w:rPr>
          <w:rFonts w:ascii="Times New Roman" w:hAnsi="Times New Roman" w:cs="Times New Roman"/>
        </w:rPr>
        <w:t>E</w:t>
      </w:r>
      <w:r w:rsidR="003E6A0B" w:rsidRPr="00FC4688">
        <w:rPr>
          <w:rFonts w:ascii="Times New Roman" w:hAnsi="Times New Roman" w:cs="Times New Roman"/>
        </w:rPr>
        <w:t>s oportuno resaltar que la situación financi</w:t>
      </w:r>
      <w:r w:rsidRPr="00FC4688">
        <w:rPr>
          <w:rFonts w:ascii="Times New Roman" w:hAnsi="Times New Roman" w:cs="Times New Roman"/>
        </w:rPr>
        <w:t>e</w:t>
      </w:r>
      <w:r w:rsidR="003E6A0B" w:rsidRPr="00FC4688">
        <w:rPr>
          <w:rFonts w:ascii="Times New Roman" w:hAnsi="Times New Roman" w:cs="Times New Roman"/>
        </w:rPr>
        <w:t xml:space="preserve">ra al finalizar </w:t>
      </w:r>
      <w:r w:rsidR="00E14B27" w:rsidRPr="00FC4688">
        <w:rPr>
          <w:rFonts w:ascii="Times New Roman" w:hAnsi="Times New Roman" w:cs="Times New Roman"/>
        </w:rPr>
        <w:t xml:space="preserve">el tercer trimestre se atribuye al alto </w:t>
      </w:r>
      <w:r w:rsidR="000F4B0C" w:rsidRPr="00FC4688">
        <w:rPr>
          <w:rFonts w:ascii="Times New Roman" w:hAnsi="Times New Roman" w:cs="Times New Roman"/>
        </w:rPr>
        <w:t>dinamismo en el gasto</w:t>
      </w:r>
      <w:r w:rsidRPr="00FC4688">
        <w:rPr>
          <w:rFonts w:ascii="Times New Roman" w:hAnsi="Times New Roman" w:cs="Times New Roman"/>
        </w:rPr>
        <w:t xml:space="preserve">, un aumento en la inversión de infraestructura </w:t>
      </w:r>
      <w:r w:rsidR="000F4B0C" w:rsidRPr="00FC4688">
        <w:rPr>
          <w:rFonts w:ascii="Times New Roman" w:hAnsi="Times New Roman" w:cs="Times New Roman"/>
        </w:rPr>
        <w:t>y por el buen desempeño de la recaudación tributaria que</w:t>
      </w:r>
      <w:r w:rsidR="00E13EAC" w:rsidRPr="00FC4688">
        <w:rPr>
          <w:rFonts w:ascii="Times New Roman" w:hAnsi="Times New Roman" w:cs="Times New Roman"/>
        </w:rPr>
        <w:t xml:space="preserve"> se viene observando</w:t>
      </w:r>
      <w:r w:rsidR="00E14B27" w:rsidRPr="00FC4688">
        <w:rPr>
          <w:rFonts w:ascii="Times New Roman" w:hAnsi="Times New Roman" w:cs="Times New Roman"/>
        </w:rPr>
        <w:t xml:space="preserve"> durante todo el año</w:t>
      </w:r>
      <w:r w:rsidR="00E13EAC" w:rsidRPr="00FC4688">
        <w:rPr>
          <w:rFonts w:ascii="Times New Roman" w:hAnsi="Times New Roman" w:cs="Times New Roman"/>
        </w:rPr>
        <w:t>.</w:t>
      </w:r>
    </w:p>
    <w:p w14:paraId="76D821A8" w14:textId="77777777" w:rsidR="00745870" w:rsidRPr="00FC4688" w:rsidRDefault="00745870">
      <w:pPr>
        <w:spacing w:after="200" w:line="276" w:lineRule="auto"/>
        <w:jc w:val="left"/>
        <w:rPr>
          <w:rFonts w:cs="Times New Roman"/>
          <w:b/>
          <w:szCs w:val="22"/>
          <w:lang w:val="es-MX"/>
        </w:rPr>
      </w:pPr>
    </w:p>
    <w:p w14:paraId="5C9011E1" w14:textId="77777777" w:rsidR="00745870" w:rsidRPr="00FC4688" w:rsidRDefault="00745870">
      <w:pPr>
        <w:spacing w:after="200" w:line="276" w:lineRule="auto"/>
        <w:jc w:val="left"/>
        <w:rPr>
          <w:rFonts w:cs="Times New Roman"/>
          <w:b/>
          <w:szCs w:val="22"/>
          <w:lang w:val="es-MX"/>
        </w:rPr>
      </w:pPr>
    </w:p>
    <w:p w14:paraId="1E0ADBA7" w14:textId="77777777" w:rsidR="00745870" w:rsidRPr="00FC4688" w:rsidRDefault="00745870">
      <w:pPr>
        <w:spacing w:after="200" w:line="276" w:lineRule="auto"/>
        <w:jc w:val="left"/>
        <w:rPr>
          <w:rFonts w:cs="Times New Roman"/>
          <w:b/>
          <w:szCs w:val="22"/>
          <w:lang w:val="es-MX"/>
        </w:rPr>
      </w:pPr>
    </w:p>
    <w:p w14:paraId="21995343" w14:textId="77777777" w:rsidR="00745870" w:rsidRPr="00FC4688" w:rsidRDefault="00745870">
      <w:pPr>
        <w:spacing w:after="200" w:line="276" w:lineRule="auto"/>
        <w:jc w:val="left"/>
        <w:rPr>
          <w:rFonts w:cs="Times New Roman"/>
          <w:b/>
          <w:szCs w:val="22"/>
          <w:lang w:val="es-MX"/>
        </w:rPr>
      </w:pPr>
    </w:p>
    <w:p w14:paraId="121BF0A8" w14:textId="77777777" w:rsidR="00745870" w:rsidRPr="00FC4688" w:rsidRDefault="00745870">
      <w:pPr>
        <w:spacing w:after="200" w:line="276" w:lineRule="auto"/>
        <w:jc w:val="left"/>
        <w:rPr>
          <w:rFonts w:cs="Times New Roman"/>
          <w:b/>
          <w:szCs w:val="22"/>
          <w:lang w:val="es-MX"/>
        </w:rPr>
      </w:pPr>
    </w:p>
    <w:p w14:paraId="54EC232A" w14:textId="695A4322" w:rsidR="00745870" w:rsidRPr="00FC4688" w:rsidRDefault="00745870">
      <w:pPr>
        <w:spacing w:after="200" w:line="276" w:lineRule="auto"/>
        <w:jc w:val="left"/>
        <w:rPr>
          <w:rFonts w:cs="Times New Roman"/>
          <w:b/>
          <w:szCs w:val="22"/>
          <w:lang w:val="es-MX"/>
        </w:rPr>
      </w:pPr>
    </w:p>
    <w:p w14:paraId="46CE4C7D" w14:textId="77777777" w:rsidR="00C674B2" w:rsidRPr="00FC4688" w:rsidRDefault="00C674B2">
      <w:pPr>
        <w:spacing w:after="200" w:line="276" w:lineRule="auto"/>
        <w:jc w:val="left"/>
        <w:rPr>
          <w:rFonts w:cs="Times New Roman"/>
          <w:b/>
          <w:szCs w:val="22"/>
          <w:lang w:val="es-MX"/>
        </w:rPr>
      </w:pPr>
    </w:p>
    <w:p w14:paraId="653162DB" w14:textId="77777777" w:rsidR="004911A4" w:rsidRPr="00FC4688" w:rsidRDefault="004911A4">
      <w:pPr>
        <w:spacing w:after="200" w:line="276" w:lineRule="auto"/>
        <w:jc w:val="left"/>
        <w:rPr>
          <w:rFonts w:cs="Times New Roman"/>
          <w:b/>
          <w:szCs w:val="22"/>
          <w:lang w:val="es-MX"/>
        </w:rPr>
      </w:pPr>
      <w:r w:rsidRPr="00FC4688">
        <w:rPr>
          <w:rFonts w:cs="Times New Roman"/>
          <w:b/>
          <w:szCs w:val="22"/>
          <w:lang w:val="es-MX"/>
        </w:rPr>
        <w:br w:type="page"/>
      </w:r>
    </w:p>
    <w:p w14:paraId="020DDCB3" w14:textId="6E163663" w:rsidR="00264A75" w:rsidRPr="00FC4688" w:rsidRDefault="00264A75" w:rsidP="00997543">
      <w:pPr>
        <w:jc w:val="center"/>
        <w:rPr>
          <w:rFonts w:cs="Times New Roman"/>
          <w:b/>
          <w:szCs w:val="22"/>
          <w:lang w:val="es-MX"/>
        </w:rPr>
      </w:pPr>
      <w:r w:rsidRPr="00FC4688">
        <w:rPr>
          <w:rFonts w:cs="Times New Roman"/>
          <w:b/>
          <w:szCs w:val="22"/>
          <w:lang w:val="es-MX"/>
        </w:rPr>
        <w:lastRenderedPageBreak/>
        <w:t xml:space="preserve">Estado de </w:t>
      </w:r>
      <w:r w:rsidR="00697544" w:rsidRPr="00FC4688">
        <w:rPr>
          <w:rFonts w:cs="Times New Roman"/>
          <w:b/>
          <w:szCs w:val="22"/>
          <w:lang w:val="es-MX"/>
        </w:rPr>
        <w:t>O</w:t>
      </w:r>
      <w:r w:rsidRPr="00FC4688">
        <w:rPr>
          <w:rFonts w:cs="Times New Roman"/>
          <w:b/>
          <w:szCs w:val="22"/>
          <w:lang w:val="es-MX"/>
        </w:rPr>
        <w:t>peraciones</w:t>
      </w:r>
      <w:r w:rsidR="007105EE" w:rsidRPr="00FC4688">
        <w:rPr>
          <w:rFonts w:cs="Times New Roman"/>
          <w:b/>
          <w:szCs w:val="22"/>
          <w:lang w:val="es-MX"/>
        </w:rPr>
        <w:t xml:space="preserve"> </w:t>
      </w:r>
      <w:r w:rsidRPr="00FC4688">
        <w:rPr>
          <w:rFonts w:cs="Times New Roman"/>
          <w:b/>
          <w:szCs w:val="22"/>
          <w:lang w:val="es-MX"/>
        </w:rPr>
        <w:t>del Gobierno Central Presupuestario</w:t>
      </w:r>
    </w:p>
    <w:p w14:paraId="68D87BB8" w14:textId="6C06D48E" w:rsidR="007105EE" w:rsidRPr="00FC4688" w:rsidRDefault="007105EE" w:rsidP="00997543">
      <w:pPr>
        <w:jc w:val="center"/>
        <w:rPr>
          <w:rFonts w:cs="Times New Roman"/>
          <w:b/>
          <w:szCs w:val="22"/>
          <w:lang w:val="es-MX"/>
        </w:rPr>
      </w:pPr>
      <w:r w:rsidRPr="00FC4688">
        <w:rPr>
          <w:rFonts w:cs="Times New Roman"/>
          <w:b/>
          <w:szCs w:val="22"/>
          <w:lang w:val="es-MX"/>
        </w:rPr>
        <w:t xml:space="preserve">Cifras acumuladas a </w:t>
      </w:r>
      <w:r w:rsidR="002C0AB6" w:rsidRPr="00FC4688">
        <w:rPr>
          <w:rFonts w:cs="Times New Roman"/>
          <w:b/>
          <w:szCs w:val="22"/>
          <w:lang w:val="es-MX"/>
        </w:rPr>
        <w:t>septiembre</w:t>
      </w:r>
      <w:r w:rsidR="0040363B" w:rsidRPr="00FC4688">
        <w:rPr>
          <w:rFonts w:cs="Times New Roman"/>
          <w:b/>
          <w:szCs w:val="22"/>
          <w:lang w:val="es-MX"/>
        </w:rPr>
        <w:t xml:space="preserve"> de cada año</w:t>
      </w:r>
      <w:r w:rsidRPr="00FC4688">
        <w:rPr>
          <w:rFonts w:cs="Times New Roman"/>
          <w:b/>
          <w:szCs w:val="22"/>
          <w:lang w:val="es-MX"/>
        </w:rPr>
        <w:t>*</w:t>
      </w:r>
    </w:p>
    <w:p w14:paraId="3793E3FA" w14:textId="402859EF" w:rsidR="00A366A0" w:rsidRPr="00FC4688" w:rsidRDefault="00697544" w:rsidP="00944641">
      <w:pPr>
        <w:spacing w:after="240"/>
        <w:jc w:val="center"/>
        <w:rPr>
          <w:rFonts w:cs="Times New Roman"/>
          <w:sz w:val="16"/>
          <w:szCs w:val="22"/>
          <w:lang w:val="es-MX"/>
        </w:rPr>
      </w:pPr>
      <w:r w:rsidRPr="00FC4688">
        <w:rPr>
          <w:rFonts w:cs="Times New Roman"/>
          <w:bCs/>
          <w:szCs w:val="22"/>
          <w:lang w:val="es-MX"/>
        </w:rPr>
        <w:t>En millones de Quetzales</w:t>
      </w:r>
      <w:r w:rsidR="00414C97" w:rsidRPr="00FC4688">
        <w:rPr>
          <w:rFonts w:cs="Times New Roman"/>
          <w:bCs/>
          <w:szCs w:val="22"/>
          <w:lang w:val="es-MX"/>
        </w:rPr>
        <w:t xml:space="preserve"> y</w:t>
      </w:r>
      <w:r w:rsidR="0090006B" w:rsidRPr="00FC4688">
        <w:rPr>
          <w:rFonts w:cs="Times New Roman"/>
          <w:bCs/>
          <w:szCs w:val="22"/>
          <w:lang w:val="es-MX"/>
        </w:rPr>
        <w:t xml:space="preserve"> </w:t>
      </w:r>
      <w:r w:rsidR="00414C97" w:rsidRPr="00FC4688">
        <w:rPr>
          <w:rFonts w:cs="Times New Roman"/>
          <w:bCs/>
          <w:szCs w:val="22"/>
          <w:lang w:val="es-MX"/>
        </w:rPr>
        <w:t>Porcentajes</w:t>
      </w:r>
    </w:p>
    <w:tbl>
      <w:tblPr>
        <w:tblW w:w="668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4"/>
        <w:gridCol w:w="861"/>
        <w:gridCol w:w="861"/>
        <w:gridCol w:w="861"/>
        <w:gridCol w:w="941"/>
      </w:tblGrid>
      <w:tr w:rsidR="00AE317C" w:rsidRPr="00FC4688" w14:paraId="4E22BD21" w14:textId="77777777" w:rsidTr="008D3ED7">
        <w:trPr>
          <w:trHeight w:val="264"/>
          <w:jc w:val="center"/>
        </w:trPr>
        <w:tc>
          <w:tcPr>
            <w:tcW w:w="31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44546A"/>
            <w:noWrap/>
            <w:vAlign w:val="center"/>
            <w:hideMark/>
          </w:tcPr>
          <w:p w14:paraId="58300B4C" w14:textId="77777777" w:rsidR="004D429B" w:rsidRPr="00FC4688" w:rsidRDefault="004D429B" w:rsidP="004D429B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FC4688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Descripción</w:t>
            </w:r>
          </w:p>
        </w:tc>
        <w:tc>
          <w:tcPr>
            <w:tcW w:w="8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44546A"/>
            <w:vAlign w:val="center"/>
            <w:hideMark/>
          </w:tcPr>
          <w:p w14:paraId="462E5254" w14:textId="77777777" w:rsidR="004D429B" w:rsidRPr="00FC4688" w:rsidRDefault="004D429B" w:rsidP="004D429B">
            <w:pPr>
              <w:jc w:val="center"/>
              <w:rPr>
                <w:rFonts w:eastAsia="Times New Roman" w:cs="Times New Roman"/>
                <w:color w:val="FFFFFF"/>
                <w:sz w:val="18"/>
                <w:szCs w:val="18"/>
                <w:lang w:eastAsia="es-GT"/>
              </w:rPr>
            </w:pPr>
            <w:r w:rsidRPr="00FC4688">
              <w:rPr>
                <w:rFonts w:eastAsia="Times New Roman" w:cs="Times New Roman"/>
                <w:color w:val="FFFFFF"/>
                <w:sz w:val="18"/>
                <w:szCs w:val="18"/>
                <w:lang w:eastAsia="es-GT"/>
              </w:rPr>
              <w:t>2021</w:t>
            </w:r>
          </w:p>
        </w:tc>
        <w:tc>
          <w:tcPr>
            <w:tcW w:w="8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44546A"/>
            <w:vAlign w:val="center"/>
            <w:hideMark/>
          </w:tcPr>
          <w:p w14:paraId="7A1933AF" w14:textId="77777777" w:rsidR="004D429B" w:rsidRPr="00FC4688" w:rsidRDefault="004D429B" w:rsidP="004D429B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FC4688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2022*</w:t>
            </w:r>
          </w:p>
        </w:tc>
        <w:tc>
          <w:tcPr>
            <w:tcW w:w="18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44546A"/>
            <w:vAlign w:val="center"/>
            <w:hideMark/>
          </w:tcPr>
          <w:p w14:paraId="33E0B23E" w14:textId="77777777" w:rsidR="004D429B" w:rsidRPr="00FC4688" w:rsidRDefault="004D429B" w:rsidP="004D429B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FC4688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Variación Interanual</w:t>
            </w:r>
          </w:p>
        </w:tc>
      </w:tr>
      <w:tr w:rsidR="004D429B" w:rsidRPr="00FC4688" w14:paraId="52911BCD" w14:textId="77777777" w:rsidTr="008D3ED7">
        <w:trPr>
          <w:trHeight w:val="264"/>
          <w:jc w:val="center"/>
        </w:trPr>
        <w:tc>
          <w:tcPr>
            <w:tcW w:w="31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5BE7534" w14:textId="77777777" w:rsidR="004D429B" w:rsidRPr="00FC4688" w:rsidRDefault="004D429B" w:rsidP="004D429B">
            <w:pPr>
              <w:jc w:val="left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</w:p>
        </w:tc>
        <w:tc>
          <w:tcPr>
            <w:tcW w:w="8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A31A0B" w14:textId="77777777" w:rsidR="004D429B" w:rsidRPr="00FC4688" w:rsidRDefault="004D429B" w:rsidP="004D429B">
            <w:pPr>
              <w:jc w:val="left"/>
              <w:rPr>
                <w:rFonts w:eastAsia="Times New Roman" w:cs="Times New Roman"/>
                <w:color w:val="FFFFFF"/>
                <w:sz w:val="18"/>
                <w:szCs w:val="18"/>
                <w:lang w:eastAsia="es-GT"/>
              </w:rPr>
            </w:pPr>
          </w:p>
        </w:tc>
        <w:tc>
          <w:tcPr>
            <w:tcW w:w="8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2ADCC9" w14:textId="77777777" w:rsidR="004D429B" w:rsidRPr="00FC4688" w:rsidRDefault="004D429B" w:rsidP="004D429B">
            <w:pPr>
              <w:jc w:val="left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2964B4C2" w14:textId="77777777" w:rsidR="004D429B" w:rsidRPr="00FC4688" w:rsidRDefault="004D429B" w:rsidP="004D429B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FC4688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Absoluta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177730A0" w14:textId="77777777" w:rsidR="004D429B" w:rsidRPr="00FC4688" w:rsidRDefault="004D429B" w:rsidP="004D429B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</w:pPr>
            <w:r w:rsidRPr="00FC4688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GT"/>
              </w:rPr>
              <w:t>Relativa</w:t>
            </w:r>
          </w:p>
        </w:tc>
      </w:tr>
      <w:tr w:rsidR="00687FDD" w:rsidRPr="00FC4688" w14:paraId="331C0894" w14:textId="77777777" w:rsidTr="008D3ED7">
        <w:trPr>
          <w:trHeight w:val="252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471B9" w14:textId="77777777" w:rsidR="00687FDD" w:rsidRPr="00FC4688" w:rsidRDefault="00687FDD" w:rsidP="00687FDD">
            <w:pP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INGRESO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B8F6A" w14:textId="7B38C81E" w:rsidR="00687FDD" w:rsidRPr="00FC4688" w:rsidRDefault="00687FDD" w:rsidP="00687FD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60,258.1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99ABE" w14:textId="6C4F2484" w:rsidR="00687FDD" w:rsidRPr="00FC4688" w:rsidRDefault="00687FDD" w:rsidP="00687FD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70,079.0</w:t>
            </w:r>
          </w:p>
        </w:tc>
        <w:tc>
          <w:tcPr>
            <w:tcW w:w="861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23E92" w14:textId="27FB155A" w:rsidR="00687FDD" w:rsidRPr="00FC4688" w:rsidRDefault="00687FDD" w:rsidP="00687FD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9,820.9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72ED2" w14:textId="460D6321" w:rsidR="00687FDD" w:rsidRPr="00FC4688" w:rsidRDefault="00687FDD" w:rsidP="00687FD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16.3</w:t>
            </w:r>
          </w:p>
        </w:tc>
      </w:tr>
      <w:tr w:rsidR="00687FDD" w:rsidRPr="00FC4688" w14:paraId="3458F854" w14:textId="77777777" w:rsidTr="008D3ED7">
        <w:trPr>
          <w:trHeight w:val="252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1EAE2" w14:textId="77777777" w:rsidR="00687FDD" w:rsidRPr="00FC4688" w:rsidRDefault="00687FDD" w:rsidP="00687FDD">
            <w:pPr>
              <w:ind w:firstLineChars="100" w:firstLine="16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  <w:t>Impuestos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CC720" w14:textId="53090014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54,910.6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00D77" w14:textId="1FC9619D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64,379.4</w:t>
            </w:r>
          </w:p>
        </w:tc>
        <w:tc>
          <w:tcPr>
            <w:tcW w:w="861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14500" w14:textId="5BD2E967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9,468.8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108BC" w14:textId="4EF632F2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17.2</w:t>
            </w:r>
          </w:p>
        </w:tc>
      </w:tr>
      <w:tr w:rsidR="00687FDD" w:rsidRPr="00FC4688" w14:paraId="0933DA23" w14:textId="77777777" w:rsidTr="008D3ED7">
        <w:trPr>
          <w:trHeight w:val="252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B74CC" w14:textId="77777777" w:rsidR="00687FDD" w:rsidRPr="00FC4688" w:rsidRDefault="00687FDD" w:rsidP="00687FDD">
            <w:pPr>
              <w:ind w:firstLineChars="100" w:firstLine="16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  <w:t xml:space="preserve">Contribuciones sociales 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C9E7D" w14:textId="593B499E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3,809.9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8D5DD" w14:textId="2F68EB3D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3,855.8</w:t>
            </w:r>
          </w:p>
        </w:tc>
        <w:tc>
          <w:tcPr>
            <w:tcW w:w="861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13875" w14:textId="36CC1B22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45.9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FAAAF" w14:textId="756D69B4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1.2</w:t>
            </w:r>
          </w:p>
        </w:tc>
      </w:tr>
      <w:tr w:rsidR="00687FDD" w:rsidRPr="00FC4688" w14:paraId="51764967" w14:textId="77777777" w:rsidTr="008D3ED7">
        <w:trPr>
          <w:trHeight w:val="252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42D09" w14:textId="77777777" w:rsidR="00687FDD" w:rsidRPr="00FC4688" w:rsidRDefault="00687FDD" w:rsidP="00687FDD">
            <w:pPr>
              <w:ind w:firstLineChars="100" w:firstLine="16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  <w:t>Donaciones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06E36" w14:textId="362B747D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111.3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0F372" w14:textId="4E054E2C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93.2</w:t>
            </w:r>
          </w:p>
        </w:tc>
        <w:tc>
          <w:tcPr>
            <w:tcW w:w="861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8307B" w14:textId="31588B9F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-18.1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8D73E" w14:textId="388B812C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-16.2</w:t>
            </w:r>
          </w:p>
        </w:tc>
      </w:tr>
      <w:tr w:rsidR="00687FDD" w:rsidRPr="00FC4688" w14:paraId="28085D07" w14:textId="77777777" w:rsidTr="008D3ED7">
        <w:trPr>
          <w:trHeight w:val="252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AD321" w14:textId="77777777" w:rsidR="00687FDD" w:rsidRPr="00FC4688" w:rsidRDefault="00687FDD" w:rsidP="00687FDD">
            <w:pPr>
              <w:ind w:firstLineChars="100" w:firstLine="16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  <w:t xml:space="preserve">Otros ingresos 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2633D" w14:textId="77ECF921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1,426.4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61B97" w14:textId="7E97927A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1,750.6</w:t>
            </w:r>
          </w:p>
        </w:tc>
        <w:tc>
          <w:tcPr>
            <w:tcW w:w="861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D3011" w14:textId="50D1F4D7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324.2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9EF91" w14:textId="30295306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22.7</w:t>
            </w:r>
          </w:p>
        </w:tc>
      </w:tr>
      <w:tr w:rsidR="00687FDD" w:rsidRPr="00FC4688" w14:paraId="10FB4E84" w14:textId="77777777" w:rsidTr="008D3ED7">
        <w:trPr>
          <w:trHeight w:val="252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596BB" w14:textId="77777777" w:rsidR="00687FDD" w:rsidRPr="00FC4688" w:rsidRDefault="00687FDD" w:rsidP="00687FDD">
            <w:pP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GASTO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45ED2" w14:textId="36180117" w:rsidR="00687FDD" w:rsidRPr="00FC4688" w:rsidRDefault="00687FDD" w:rsidP="00687FD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61,686.2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684CA" w14:textId="4859FD51" w:rsidR="00687FDD" w:rsidRPr="00FC4688" w:rsidRDefault="00687FDD" w:rsidP="00687FD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72,007.8</w:t>
            </w:r>
          </w:p>
        </w:tc>
        <w:tc>
          <w:tcPr>
            <w:tcW w:w="861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125CE" w14:textId="27ED8A1D" w:rsidR="00687FDD" w:rsidRPr="00FC4688" w:rsidRDefault="00687FDD" w:rsidP="00687FD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10,321.6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4234E" w14:textId="28838294" w:rsidR="00687FDD" w:rsidRPr="00FC4688" w:rsidRDefault="00687FDD" w:rsidP="00687FD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16.7</w:t>
            </w:r>
          </w:p>
        </w:tc>
      </w:tr>
      <w:tr w:rsidR="00687FDD" w:rsidRPr="00FC4688" w14:paraId="461F9122" w14:textId="77777777" w:rsidTr="008D3ED7">
        <w:trPr>
          <w:trHeight w:val="252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FD601" w14:textId="77777777" w:rsidR="00687FDD" w:rsidRPr="00FC4688" w:rsidRDefault="00687FDD" w:rsidP="00687FDD">
            <w:pPr>
              <w:ind w:firstLineChars="100" w:firstLine="16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  <w:t xml:space="preserve">Remuneración a los empleados 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192BE" w14:textId="0D900F94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22,237.1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76D93" w14:textId="5905A149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23,205.6</w:t>
            </w:r>
          </w:p>
        </w:tc>
        <w:tc>
          <w:tcPr>
            <w:tcW w:w="861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35F1F" w14:textId="28D23146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968.5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4DD03" w14:textId="31EDF10B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4.4</w:t>
            </w:r>
          </w:p>
        </w:tc>
      </w:tr>
      <w:tr w:rsidR="00687FDD" w:rsidRPr="00FC4688" w14:paraId="763002C0" w14:textId="77777777" w:rsidTr="008D3ED7">
        <w:trPr>
          <w:trHeight w:val="252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FA569" w14:textId="77777777" w:rsidR="00687FDD" w:rsidRPr="00FC4688" w:rsidRDefault="00687FDD" w:rsidP="00687FDD">
            <w:pPr>
              <w:ind w:firstLineChars="100" w:firstLine="16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  <w:t xml:space="preserve">Uso de bienes y servicios  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981BE" w14:textId="4332A91D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7,967.3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30C45" w14:textId="3E942C93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9,378.0</w:t>
            </w:r>
          </w:p>
        </w:tc>
        <w:tc>
          <w:tcPr>
            <w:tcW w:w="861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AA062" w14:textId="7C346523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1,410.7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7D054" w14:textId="31F89BE1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17.7</w:t>
            </w:r>
          </w:p>
        </w:tc>
      </w:tr>
      <w:tr w:rsidR="00687FDD" w:rsidRPr="00FC4688" w14:paraId="59EDB4D0" w14:textId="77777777" w:rsidTr="008D3ED7">
        <w:trPr>
          <w:trHeight w:val="252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67098" w14:textId="77777777" w:rsidR="00687FDD" w:rsidRPr="00FC4688" w:rsidRDefault="00687FDD" w:rsidP="00687FDD">
            <w:pPr>
              <w:ind w:firstLineChars="100" w:firstLine="16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  <w:t xml:space="preserve">Intereses 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A3FF9" w14:textId="4E4EA0CB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7,815.7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51B9C" w14:textId="50F8CA67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8,450.0</w:t>
            </w:r>
          </w:p>
        </w:tc>
        <w:tc>
          <w:tcPr>
            <w:tcW w:w="861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0F594" w14:textId="1DFC5108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634.2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A1AA9" w14:textId="411DA94F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8.1</w:t>
            </w:r>
          </w:p>
        </w:tc>
      </w:tr>
      <w:tr w:rsidR="00687FDD" w:rsidRPr="00FC4688" w14:paraId="4F52C47F" w14:textId="77777777" w:rsidTr="008D3ED7">
        <w:trPr>
          <w:trHeight w:val="252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E6D4D" w14:textId="77777777" w:rsidR="00687FDD" w:rsidRPr="00FC4688" w:rsidRDefault="00687FDD" w:rsidP="00687FDD">
            <w:pPr>
              <w:ind w:firstLineChars="100" w:firstLine="16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  <w:t xml:space="preserve">Subsidios 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3DF5D" w14:textId="396DAAA2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281.7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CDC0F" w14:textId="5EE0A7E2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2,960.8</w:t>
            </w:r>
          </w:p>
        </w:tc>
        <w:tc>
          <w:tcPr>
            <w:tcW w:w="861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30D28" w14:textId="608260DF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2,679.1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C8BFB" w14:textId="030EF151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951.0</w:t>
            </w:r>
          </w:p>
        </w:tc>
      </w:tr>
      <w:tr w:rsidR="00687FDD" w:rsidRPr="00FC4688" w14:paraId="1F5BC8D0" w14:textId="77777777" w:rsidTr="008D3ED7">
        <w:trPr>
          <w:trHeight w:val="252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90B56" w14:textId="77777777" w:rsidR="00687FDD" w:rsidRPr="00FC4688" w:rsidRDefault="00687FDD" w:rsidP="00687FDD">
            <w:pPr>
              <w:ind w:firstLineChars="100" w:firstLine="16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  <w:t xml:space="preserve">Donaciones 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4BBDB" w14:textId="5F59B555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14,924.4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7A3B0" w14:textId="67964829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17,837.8</w:t>
            </w:r>
          </w:p>
        </w:tc>
        <w:tc>
          <w:tcPr>
            <w:tcW w:w="861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F7CB0" w14:textId="48BAC8FA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2,913.4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F5F68" w14:textId="2E96264E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19.5</w:t>
            </w:r>
          </w:p>
        </w:tc>
      </w:tr>
      <w:tr w:rsidR="00687FDD" w:rsidRPr="00FC4688" w14:paraId="6A4F1395" w14:textId="77777777" w:rsidTr="008D3ED7">
        <w:trPr>
          <w:trHeight w:val="252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3979A" w14:textId="77777777" w:rsidR="00687FDD" w:rsidRPr="00FC4688" w:rsidRDefault="00687FDD" w:rsidP="00687FDD">
            <w:pPr>
              <w:ind w:firstLineChars="100" w:firstLine="16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  <w:t xml:space="preserve">Prestaciones sociales 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B9FBA" w14:textId="5FE44296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4,466.0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B5F91" w14:textId="451644FF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4,734.0</w:t>
            </w:r>
          </w:p>
        </w:tc>
        <w:tc>
          <w:tcPr>
            <w:tcW w:w="861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DEB9B" w14:textId="7A739CBB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268.0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48068" w14:textId="7427C1DE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6.0</w:t>
            </w:r>
          </w:p>
        </w:tc>
      </w:tr>
      <w:tr w:rsidR="00687FDD" w:rsidRPr="00FC4688" w14:paraId="2C09391E" w14:textId="77777777" w:rsidTr="008D3ED7">
        <w:trPr>
          <w:trHeight w:val="252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F3A5B" w14:textId="77777777" w:rsidR="00687FDD" w:rsidRPr="00FC4688" w:rsidRDefault="00687FDD" w:rsidP="00687FDD">
            <w:pPr>
              <w:ind w:firstLineChars="100" w:firstLine="16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  <w:t xml:space="preserve">Otros gastos 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E9F3C" w14:textId="63FBA30C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3,993.9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F831C" w14:textId="047E3677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5,441.6</w:t>
            </w:r>
          </w:p>
        </w:tc>
        <w:tc>
          <w:tcPr>
            <w:tcW w:w="861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5997F" w14:textId="7D431577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1,447.7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E6C30" w14:textId="127D64B2" w:rsidR="00687FDD" w:rsidRPr="00FC4688" w:rsidRDefault="00687FDD" w:rsidP="00687FDD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36.2</w:t>
            </w:r>
          </w:p>
        </w:tc>
      </w:tr>
      <w:tr w:rsidR="00687FDD" w:rsidRPr="00FC4688" w14:paraId="4035D0FD" w14:textId="77777777" w:rsidTr="008D3ED7">
        <w:trPr>
          <w:trHeight w:val="252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0F8E7" w14:textId="77777777" w:rsidR="00687FDD" w:rsidRPr="00FC4688" w:rsidRDefault="00687FDD" w:rsidP="00687FDD">
            <w:pP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Resultado Operativo Primario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9C148" w14:textId="07939077" w:rsidR="00687FDD" w:rsidRPr="00FC4688" w:rsidRDefault="00687FDD" w:rsidP="00687FD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6,387.7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8E1AB" w14:textId="50D2327A" w:rsidR="00687FDD" w:rsidRPr="00FC4688" w:rsidRDefault="00687FDD" w:rsidP="00687FD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6,521.2</w:t>
            </w:r>
          </w:p>
        </w:tc>
        <w:tc>
          <w:tcPr>
            <w:tcW w:w="861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60FED" w14:textId="094CF0F2" w:rsidR="00687FDD" w:rsidRPr="00FC4688" w:rsidRDefault="00687FDD" w:rsidP="00687FD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133.5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DB06A" w14:textId="6B7E351E" w:rsidR="00687FDD" w:rsidRPr="00FC4688" w:rsidRDefault="00687FDD" w:rsidP="00687FD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2.1</w:t>
            </w:r>
          </w:p>
        </w:tc>
      </w:tr>
      <w:tr w:rsidR="00687FDD" w:rsidRPr="00FC4688" w14:paraId="2491D8E0" w14:textId="77777777" w:rsidTr="008D3ED7">
        <w:trPr>
          <w:trHeight w:val="264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F44C3" w14:textId="77777777" w:rsidR="00687FDD" w:rsidRPr="00FC4688" w:rsidRDefault="00687FDD" w:rsidP="00687FDD">
            <w:pP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Resultado Operativo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DD849" w14:textId="262586B7" w:rsidR="00687FDD" w:rsidRPr="00FC4688" w:rsidRDefault="00687FDD" w:rsidP="00687FD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-1,428.0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F54A5" w14:textId="0F1C1DAC" w:rsidR="00687FDD" w:rsidRPr="00FC4688" w:rsidRDefault="00687FDD" w:rsidP="00687FD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-1,928.8</w:t>
            </w:r>
          </w:p>
        </w:tc>
        <w:tc>
          <w:tcPr>
            <w:tcW w:w="861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EF589" w14:textId="6DA65FAB" w:rsidR="00687FDD" w:rsidRPr="00FC4688" w:rsidRDefault="00687FDD" w:rsidP="00687FD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-500.7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E806F" w14:textId="7F6BA711" w:rsidR="00687FDD" w:rsidRPr="00FC4688" w:rsidRDefault="00687FDD" w:rsidP="00687FDD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35.1</w:t>
            </w:r>
          </w:p>
        </w:tc>
      </w:tr>
      <w:tr w:rsidR="004D429B" w:rsidRPr="00FC4688" w14:paraId="6567B959" w14:textId="77777777" w:rsidTr="00944641">
        <w:trPr>
          <w:trHeight w:val="264"/>
          <w:jc w:val="center"/>
        </w:trPr>
        <w:tc>
          <w:tcPr>
            <w:tcW w:w="6688" w:type="dxa"/>
            <w:gridSpan w:val="5"/>
            <w:tcBorders>
              <w:top w:val="single" w:sz="8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39C5D9" w14:textId="77777777" w:rsidR="004D429B" w:rsidRPr="00FC4688" w:rsidRDefault="004D429B" w:rsidP="004D429B">
            <w:pPr>
              <w:rPr>
                <w:rFonts w:eastAsia="Times New Roman" w:cs="Times New Roman"/>
                <w:color w:val="4472C4"/>
                <w:sz w:val="18"/>
                <w:szCs w:val="18"/>
                <w:lang w:eastAsia="es-GT"/>
              </w:rPr>
            </w:pPr>
            <w:r w:rsidRPr="00FC4688">
              <w:rPr>
                <w:rFonts w:eastAsia="Times New Roman" w:cs="Times New Roman"/>
                <w:color w:val="4472C4"/>
                <w:sz w:val="18"/>
                <w:szCs w:val="18"/>
                <w:lang w:eastAsia="es-GT"/>
              </w:rPr>
              <w:t>TRANSACCIONES EN ACTIVOS NO FINANCIEROS</w:t>
            </w:r>
          </w:p>
        </w:tc>
      </w:tr>
      <w:tr w:rsidR="009B5789" w:rsidRPr="00FC4688" w14:paraId="084D0011" w14:textId="77777777" w:rsidTr="009C259C">
        <w:trPr>
          <w:trHeight w:val="264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E68EB" w14:textId="77777777" w:rsidR="009B5789" w:rsidRPr="00FC4688" w:rsidRDefault="009B5789" w:rsidP="009B5789">
            <w:pPr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  <w:t>Inversión bruta en activos no financieros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BD431" w14:textId="2429AFFF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2,222.9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826F4" w14:textId="49C8F5B8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2,540.3</w:t>
            </w:r>
          </w:p>
        </w:tc>
        <w:tc>
          <w:tcPr>
            <w:tcW w:w="861" w:type="dxa"/>
            <w:tcBorders>
              <w:top w:val="double" w:sz="6" w:space="0" w:color="auto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B3F99" w14:textId="12678324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317.4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3AC12" w14:textId="3F104BED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14.3</w:t>
            </w:r>
          </w:p>
        </w:tc>
      </w:tr>
      <w:tr w:rsidR="009B5789" w:rsidRPr="00FC4688" w14:paraId="5A8D5892" w14:textId="77777777" w:rsidTr="008D3ED7">
        <w:trPr>
          <w:trHeight w:val="252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83145" w14:textId="77777777" w:rsidR="009B5789" w:rsidRPr="00FC4688" w:rsidRDefault="009B5789" w:rsidP="009B5789">
            <w:pPr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  <w:t>Erogación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6D42C" w14:textId="2A7DEC11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63,909.1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666FD" w14:textId="1F17D9D2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74,548.1</w:t>
            </w:r>
          </w:p>
        </w:tc>
        <w:tc>
          <w:tcPr>
            <w:tcW w:w="861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9CAEE" w14:textId="7588E53C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10,639.0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AF032" w14:textId="666291C0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16.6</w:t>
            </w:r>
          </w:p>
        </w:tc>
      </w:tr>
      <w:tr w:rsidR="009B5789" w:rsidRPr="00FC4688" w14:paraId="205BFE93" w14:textId="77777777" w:rsidTr="008D3ED7">
        <w:trPr>
          <w:trHeight w:val="252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BD1E5" w14:textId="77777777" w:rsidR="009B5789" w:rsidRPr="00FC4688" w:rsidRDefault="009B5789" w:rsidP="009B5789">
            <w:pP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Resultado Primario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03DDF" w14:textId="017A89EF" w:rsidR="009B5789" w:rsidRPr="00FC4688" w:rsidRDefault="009B5789" w:rsidP="009B578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4,164.8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25B45" w14:textId="044F3BCF" w:rsidR="009B5789" w:rsidRPr="00FC4688" w:rsidRDefault="009B5789" w:rsidP="009B578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3,980.9</w:t>
            </w:r>
          </w:p>
        </w:tc>
        <w:tc>
          <w:tcPr>
            <w:tcW w:w="861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435F1" w14:textId="5C39D3BC" w:rsidR="009B5789" w:rsidRPr="00FC4688" w:rsidRDefault="009B5789" w:rsidP="009B578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-183.8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62A27" w14:textId="19C849D5" w:rsidR="009B5789" w:rsidRPr="00FC4688" w:rsidRDefault="009B5789" w:rsidP="009B578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-4.4</w:t>
            </w:r>
          </w:p>
        </w:tc>
      </w:tr>
      <w:tr w:rsidR="009B5789" w:rsidRPr="00FC4688" w14:paraId="20CDBC1D" w14:textId="77777777" w:rsidTr="008D3ED7">
        <w:trPr>
          <w:trHeight w:val="264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2102B" w14:textId="77777777" w:rsidR="009B5789" w:rsidRPr="00FC4688" w:rsidRDefault="009B5789" w:rsidP="009B5789">
            <w:pP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Préstamo (+) / endeudamiento (-)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2EF06" w14:textId="317566C3" w:rsidR="009B5789" w:rsidRPr="00FC4688" w:rsidRDefault="009B5789" w:rsidP="009B578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-3,651.0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8BC3A" w14:textId="4F2FB794" w:rsidR="009B5789" w:rsidRPr="00FC4688" w:rsidRDefault="009B5789" w:rsidP="009B578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-4,469.0</w:t>
            </w:r>
          </w:p>
        </w:tc>
        <w:tc>
          <w:tcPr>
            <w:tcW w:w="861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9F16F" w14:textId="1A0EBF42" w:rsidR="009B5789" w:rsidRPr="00FC4688" w:rsidRDefault="009B5789" w:rsidP="009B578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-818.1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00C8A" w14:textId="28A9EAEA" w:rsidR="009B5789" w:rsidRPr="00FC4688" w:rsidRDefault="009B5789" w:rsidP="009B578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22.4</w:t>
            </w:r>
          </w:p>
        </w:tc>
      </w:tr>
      <w:tr w:rsidR="004D429B" w:rsidRPr="00FC4688" w14:paraId="623E528B" w14:textId="77777777" w:rsidTr="00944641">
        <w:trPr>
          <w:trHeight w:val="264"/>
          <w:jc w:val="center"/>
        </w:trPr>
        <w:tc>
          <w:tcPr>
            <w:tcW w:w="6688" w:type="dxa"/>
            <w:gridSpan w:val="5"/>
            <w:tcBorders>
              <w:top w:val="single" w:sz="8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B65DEF" w14:textId="77777777" w:rsidR="004D429B" w:rsidRPr="00FC4688" w:rsidRDefault="004D429B" w:rsidP="004D429B">
            <w:pPr>
              <w:rPr>
                <w:rFonts w:eastAsia="Times New Roman" w:cs="Times New Roman"/>
                <w:color w:val="4472C4"/>
                <w:sz w:val="18"/>
                <w:szCs w:val="18"/>
                <w:lang w:eastAsia="es-GT"/>
              </w:rPr>
            </w:pPr>
            <w:r w:rsidRPr="00FC4688">
              <w:rPr>
                <w:rFonts w:eastAsia="Times New Roman" w:cs="Times New Roman"/>
                <w:color w:val="4472C4"/>
                <w:sz w:val="18"/>
                <w:szCs w:val="18"/>
                <w:lang w:eastAsia="es-GT"/>
              </w:rPr>
              <w:t>TRANSACCIONES EN ACTIVOS Y PASIVOS FINANCIEROS (FINANCIMIENTO)</w:t>
            </w:r>
          </w:p>
        </w:tc>
      </w:tr>
      <w:tr w:rsidR="009B5789" w:rsidRPr="00FC4688" w14:paraId="0F64AF95" w14:textId="77777777" w:rsidTr="00C764E0">
        <w:trPr>
          <w:trHeight w:val="264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18B98" w14:textId="77777777" w:rsidR="009B5789" w:rsidRPr="00FC4688" w:rsidRDefault="009B5789" w:rsidP="009B5789">
            <w:pP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Adquisición neta de activos financieros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50BAD" w14:textId="0EF268CB" w:rsidR="009B5789" w:rsidRPr="00FC4688" w:rsidRDefault="009B5789" w:rsidP="009B578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7,698.7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DD44D" w14:textId="2A0DF78C" w:rsidR="009B5789" w:rsidRPr="00FC4688" w:rsidRDefault="009B5789" w:rsidP="009B578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3,450.4</w:t>
            </w:r>
          </w:p>
        </w:tc>
        <w:tc>
          <w:tcPr>
            <w:tcW w:w="861" w:type="dxa"/>
            <w:tcBorders>
              <w:top w:val="double" w:sz="6" w:space="0" w:color="auto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64964" w14:textId="15E01E5F" w:rsidR="009B5789" w:rsidRPr="00FC4688" w:rsidRDefault="009B5789" w:rsidP="009B578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-4,248.3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A5CBD" w14:textId="79341556" w:rsidR="009B5789" w:rsidRPr="00FC4688" w:rsidRDefault="009B5789" w:rsidP="009B578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-55.2</w:t>
            </w:r>
          </w:p>
        </w:tc>
      </w:tr>
      <w:tr w:rsidR="009B5789" w:rsidRPr="00FC4688" w14:paraId="006B5F4E" w14:textId="77777777" w:rsidTr="008D3ED7">
        <w:trPr>
          <w:trHeight w:val="252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0906B" w14:textId="77777777" w:rsidR="009B5789" w:rsidRPr="00FC4688" w:rsidRDefault="009B5789" w:rsidP="009B5789">
            <w:pPr>
              <w:ind w:firstLineChars="100" w:firstLine="16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  <w:t>Billetes monedas y depósitos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10F92" w14:textId="13749CF9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7,774.7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F1E71" w14:textId="2E67E8E1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3,474.4</w:t>
            </w:r>
          </w:p>
        </w:tc>
        <w:tc>
          <w:tcPr>
            <w:tcW w:w="861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FBD0C" w14:textId="22095918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-4,300.3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47A0F" w14:textId="673ED430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-55.3</w:t>
            </w:r>
          </w:p>
        </w:tc>
      </w:tr>
      <w:tr w:rsidR="009B5789" w:rsidRPr="00FC4688" w14:paraId="0038A0E3" w14:textId="77777777" w:rsidTr="008D3ED7">
        <w:trPr>
          <w:trHeight w:val="252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3DC3F" w14:textId="77777777" w:rsidR="009B5789" w:rsidRPr="00FC4688" w:rsidRDefault="009B5789" w:rsidP="009B5789">
            <w:pPr>
              <w:ind w:firstLineChars="100" w:firstLine="16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  <w:t>Préstamos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53D79" w14:textId="0F3DAA64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-75.9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40F1B" w14:textId="6699210E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-23.9</w:t>
            </w:r>
          </w:p>
        </w:tc>
        <w:tc>
          <w:tcPr>
            <w:tcW w:w="861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44D39" w14:textId="642D513B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52.0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34DB3" w14:textId="38241822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-68.5</w:t>
            </w:r>
          </w:p>
        </w:tc>
      </w:tr>
      <w:tr w:rsidR="009B5789" w:rsidRPr="00FC4688" w14:paraId="6BBF7F75" w14:textId="77777777" w:rsidTr="008D3ED7">
        <w:trPr>
          <w:trHeight w:val="252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0DFF6" w14:textId="77777777" w:rsidR="009B5789" w:rsidRPr="00FC4688" w:rsidRDefault="009B5789" w:rsidP="009B5789">
            <w:pPr>
              <w:ind w:firstLineChars="100" w:firstLine="16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  <w:t>Otros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C9C63" w14:textId="3C26B063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856C4" w14:textId="2AEBEEDB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861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5703A" w14:textId="30FB91ED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0.0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F1E71" w14:textId="0445975A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0.0</w:t>
            </w:r>
          </w:p>
        </w:tc>
      </w:tr>
      <w:tr w:rsidR="009B5789" w:rsidRPr="00FC4688" w14:paraId="2C6A1243" w14:textId="77777777" w:rsidTr="008D3ED7">
        <w:trPr>
          <w:trHeight w:val="252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9A45D" w14:textId="77777777" w:rsidR="009B5789" w:rsidRPr="00FC4688" w:rsidRDefault="009B5789" w:rsidP="009B5789">
            <w:pP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Incurrimiento neto de pasivos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35D2D" w14:textId="3A7F2C89" w:rsidR="009B5789" w:rsidRPr="00FC4688" w:rsidRDefault="009B5789" w:rsidP="009B578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10,910.4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A5592" w14:textId="11366D61" w:rsidR="009B5789" w:rsidRPr="00FC4688" w:rsidRDefault="009B5789" w:rsidP="009B578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9,181.2</w:t>
            </w:r>
          </w:p>
        </w:tc>
        <w:tc>
          <w:tcPr>
            <w:tcW w:w="861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1B427" w14:textId="0662C58D" w:rsidR="009B5789" w:rsidRPr="00FC4688" w:rsidRDefault="009B5789" w:rsidP="009B578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-1,729.2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92E83" w14:textId="64496852" w:rsidR="009B5789" w:rsidRPr="00FC4688" w:rsidRDefault="009B5789" w:rsidP="009B578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-15.8</w:t>
            </w:r>
          </w:p>
        </w:tc>
      </w:tr>
      <w:tr w:rsidR="009B5789" w:rsidRPr="00FC4688" w14:paraId="105BB5D5" w14:textId="77777777" w:rsidTr="008D3ED7">
        <w:trPr>
          <w:trHeight w:val="252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B506E" w14:textId="77777777" w:rsidR="009B5789" w:rsidRPr="00FC4688" w:rsidRDefault="009B5789" w:rsidP="009B5789">
            <w:pPr>
              <w:ind w:firstLineChars="100" w:firstLine="16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  <w:t>Títulos de deuda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97FB9" w14:textId="3883F2E6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13,353.3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5CE79" w14:textId="57BAED31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6,838.7</w:t>
            </w:r>
          </w:p>
        </w:tc>
        <w:tc>
          <w:tcPr>
            <w:tcW w:w="861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ED1F3" w14:textId="275E7D2A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-6,514.6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91086" w14:textId="34BD409F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-48.8</w:t>
            </w:r>
          </w:p>
        </w:tc>
      </w:tr>
      <w:tr w:rsidR="009B5789" w:rsidRPr="00FC4688" w14:paraId="0146A179" w14:textId="77777777" w:rsidTr="008D3ED7">
        <w:trPr>
          <w:trHeight w:val="252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B54FE" w14:textId="77777777" w:rsidR="009B5789" w:rsidRPr="00FC4688" w:rsidRDefault="009B5789" w:rsidP="009B5789">
            <w:pPr>
              <w:ind w:firstLineChars="100" w:firstLine="16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  <w:t>Préstamos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858FC" w14:textId="46F9A147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-1,955.1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A84AE" w14:textId="12D03945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2,296.0</w:t>
            </w:r>
          </w:p>
        </w:tc>
        <w:tc>
          <w:tcPr>
            <w:tcW w:w="861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0C579" w14:textId="65E6F9A6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4,251.1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4B0FC" w14:textId="612129A5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-217.4</w:t>
            </w:r>
          </w:p>
        </w:tc>
      </w:tr>
      <w:tr w:rsidR="009B5789" w:rsidRPr="00FC4688" w14:paraId="53DE527D" w14:textId="77777777" w:rsidTr="008D3ED7">
        <w:trPr>
          <w:trHeight w:val="252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D3DFB" w14:textId="77777777" w:rsidR="009B5789" w:rsidRPr="00FC4688" w:rsidRDefault="009B5789" w:rsidP="009B5789">
            <w:pPr>
              <w:ind w:firstLineChars="100" w:firstLine="160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  <w:t>Otros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F814E" w14:textId="647DB976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-487.7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05861" w14:textId="3CF9D795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46.6</w:t>
            </w:r>
          </w:p>
        </w:tc>
        <w:tc>
          <w:tcPr>
            <w:tcW w:w="861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B4487" w14:textId="6A643C98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534.3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0A6DE" w14:textId="116C4184" w:rsidR="009B5789" w:rsidRPr="00FC4688" w:rsidRDefault="009B5789" w:rsidP="009B5789">
            <w:pPr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color w:val="000000"/>
                <w:sz w:val="16"/>
                <w:szCs w:val="16"/>
              </w:rPr>
              <w:t>-109.5</w:t>
            </w:r>
          </w:p>
        </w:tc>
      </w:tr>
      <w:tr w:rsidR="009B5789" w:rsidRPr="00FC4688" w14:paraId="2B640124" w14:textId="77777777" w:rsidTr="008D3ED7">
        <w:trPr>
          <w:trHeight w:val="252"/>
          <w:jc w:val="center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F55F7" w14:textId="77777777" w:rsidR="009B5789" w:rsidRPr="00FC4688" w:rsidRDefault="009B5789" w:rsidP="009B5789">
            <w:pPr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  <w:t>Discrepancia estadística global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192F6" w14:textId="62A3748F" w:rsidR="009B5789" w:rsidRPr="00FC4688" w:rsidRDefault="009B5789" w:rsidP="009B578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439.3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FC3FB" w14:textId="3CC90BFA" w:rsidR="009B5789" w:rsidRPr="00FC4688" w:rsidRDefault="009B5789" w:rsidP="009B578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-1,261.8</w:t>
            </w:r>
          </w:p>
        </w:tc>
        <w:tc>
          <w:tcPr>
            <w:tcW w:w="861" w:type="dxa"/>
            <w:tcBorders>
              <w:top w:val="nil"/>
              <w:left w:val="dotDash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E3B24" w14:textId="520923C3" w:rsidR="009B5789" w:rsidRPr="00FC4688" w:rsidRDefault="009B5789" w:rsidP="009B578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-1,701.0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FAE72" w14:textId="7DD401BB" w:rsidR="009B5789" w:rsidRPr="00FC4688" w:rsidRDefault="009B5789" w:rsidP="009B5789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FC4688">
              <w:rPr>
                <w:b/>
                <w:bCs/>
                <w:color w:val="000000"/>
                <w:sz w:val="16"/>
                <w:szCs w:val="16"/>
              </w:rPr>
              <w:t>-387.2</w:t>
            </w:r>
          </w:p>
        </w:tc>
      </w:tr>
    </w:tbl>
    <w:p w14:paraId="3350F89B" w14:textId="024BF8C9" w:rsidR="003C303F" w:rsidRPr="00FC4688" w:rsidRDefault="003C303F" w:rsidP="007105EE">
      <w:pPr>
        <w:ind w:left="1134"/>
        <w:rPr>
          <w:rFonts w:cs="Times New Roman"/>
          <w:sz w:val="16"/>
          <w:szCs w:val="22"/>
          <w:lang w:val="es-MX"/>
        </w:rPr>
      </w:pPr>
      <w:r w:rsidRPr="00FC4688">
        <w:rPr>
          <w:rFonts w:cs="Times New Roman"/>
          <w:sz w:val="16"/>
          <w:szCs w:val="22"/>
          <w:lang w:val="es-MX"/>
        </w:rPr>
        <w:t>*Cifras preliminares</w:t>
      </w:r>
    </w:p>
    <w:p w14:paraId="445E1632" w14:textId="77777777" w:rsidR="003C303F" w:rsidRDefault="003C303F" w:rsidP="007105EE">
      <w:pPr>
        <w:ind w:left="1134"/>
        <w:rPr>
          <w:rFonts w:cs="Times New Roman"/>
          <w:sz w:val="16"/>
          <w:szCs w:val="22"/>
          <w:lang w:val="es-MX"/>
        </w:rPr>
      </w:pPr>
      <w:r w:rsidRPr="00FC4688">
        <w:rPr>
          <w:rFonts w:cs="Times New Roman"/>
          <w:sz w:val="16"/>
          <w:szCs w:val="22"/>
          <w:lang w:val="es-MX"/>
        </w:rPr>
        <w:t>Fuente: MINFIN</w:t>
      </w:r>
    </w:p>
    <w:p w14:paraId="6886455E" w14:textId="77777777" w:rsidR="006939D7" w:rsidRPr="00BF230D" w:rsidRDefault="006939D7" w:rsidP="007105EE">
      <w:pPr>
        <w:ind w:left="1134"/>
        <w:rPr>
          <w:rFonts w:cs="Times New Roman"/>
          <w:sz w:val="16"/>
          <w:szCs w:val="22"/>
          <w:lang w:val="es-MX"/>
        </w:rPr>
      </w:pPr>
    </w:p>
    <w:sectPr w:rsidR="006939D7" w:rsidRPr="00BF230D" w:rsidSect="00D319A6">
      <w:headerReference w:type="default" r:id="rId50"/>
      <w:footerReference w:type="default" r:id="rId51"/>
      <w:headerReference w:type="first" r:id="rId52"/>
      <w:footerReference w:type="first" r:id="rId53"/>
      <w:type w:val="continuous"/>
      <w:pgSz w:w="12240" w:h="15840" w:code="1"/>
      <w:pgMar w:top="1418" w:right="1418" w:bottom="1418" w:left="1418" w:header="709" w:footer="709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2BF69" w14:textId="77777777" w:rsidR="00AF0AF4" w:rsidRDefault="00AF0AF4" w:rsidP="000B5E1C">
      <w:r>
        <w:separator/>
      </w:r>
    </w:p>
  </w:endnote>
  <w:endnote w:type="continuationSeparator" w:id="0">
    <w:p w14:paraId="5ACD0114" w14:textId="77777777" w:rsidR="00AF0AF4" w:rsidRDefault="00AF0AF4" w:rsidP="000B5E1C">
      <w:r>
        <w:continuationSeparator/>
      </w:r>
    </w:p>
  </w:endnote>
  <w:endnote w:type="continuationNotice" w:id="1">
    <w:p w14:paraId="2E1A5737" w14:textId="77777777" w:rsidR="00AF0AF4" w:rsidRDefault="00AF0A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imes New Roman"/>
        <w:i/>
        <w:color w:val="1F497D" w:themeColor="text2"/>
        <w:lang w:val="es-ES"/>
      </w:rPr>
      <w:id w:val="99608647"/>
      <w:docPartObj>
        <w:docPartGallery w:val="Page Numbers (Bottom of Page)"/>
        <w:docPartUnique/>
      </w:docPartObj>
    </w:sdtPr>
    <w:sdtContent>
      <w:p w14:paraId="59B59DA8" w14:textId="77777777" w:rsidR="003E3101" w:rsidRPr="00AC45C7" w:rsidRDefault="003E3101">
        <w:pPr>
          <w:pStyle w:val="Piedepgina"/>
          <w:jc w:val="right"/>
          <w:rPr>
            <w:rFonts w:cs="Times New Roman"/>
            <w:i/>
            <w:color w:val="1F497D" w:themeColor="text2"/>
          </w:rPr>
        </w:pPr>
        <w:r>
          <w:rPr>
            <w:rFonts w:cs="Times New Roman"/>
            <w:i/>
            <w:noProof/>
            <w:color w:val="1F497D" w:themeColor="text2"/>
            <w:lang w:eastAsia="es-GT"/>
          </w:rPr>
          <mc:AlternateContent>
            <mc:Choice Requires="wps">
              <w:drawing>
                <wp:anchor distT="0" distB="0" distL="114300" distR="114300" simplePos="0" relativeHeight="251662338" behindDoc="0" locked="0" layoutInCell="1" allowOverlap="1" wp14:anchorId="740DDE79" wp14:editId="531CC097">
                  <wp:simplePos x="0" y="0"/>
                  <wp:positionH relativeFrom="column">
                    <wp:posOffset>77580</wp:posOffset>
                  </wp:positionH>
                  <wp:positionV relativeFrom="paragraph">
                    <wp:posOffset>-58006</wp:posOffset>
                  </wp:positionV>
                  <wp:extent cx="6027089" cy="47708"/>
                  <wp:effectExtent l="0" t="0" r="12065" b="28575"/>
                  <wp:wrapNone/>
                  <wp:docPr id="15" name="43 Rectángul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27089" cy="47708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77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99000">
                                <a:schemeClr val="bg1">
                                  <a:lumMod val="95000"/>
                                </a:schemeClr>
                              </a:gs>
                              <a:gs pos="89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>
                            <a:gradFill>
                              <a:gsLst>
                                <a:gs pos="0">
                                  <a:schemeClr val="accent1">
                                    <a:tint val="66000"/>
                                    <a:satMod val="160000"/>
                                  </a:schemeClr>
                                </a:gs>
                                <a:gs pos="77000">
                                  <a:schemeClr val="accent1">
                                    <a:tint val="44500"/>
                                    <a:satMod val="160000"/>
                                  </a:schemeClr>
                                </a:gs>
                                <a:gs pos="99000">
                                  <a:schemeClr val="bg1">
                                    <a:lumMod val="95000"/>
                                  </a:schemeClr>
                                </a:gs>
                                <a:gs pos="89000">
                                  <a:schemeClr val="accent1"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lin ang="5400000" scaled="0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w14:anchorId="5C9F6E0D" id="43 Rectángulo" o:spid="_x0000_s1026" style="position:absolute;margin-left:6.1pt;margin-top:-4.55pt;width:474.55pt;height:3.75pt;z-index:25166233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" fillcolor="#8aabd3 [2132]" strokeweight="2pt">
                  <v:fill color2="#f2f2f2 [3052]" rotate="t" angle="90" colors="0 #9ab5e4;50463f #c2d1ed;58327f #e1e8f5;64881f #f2f2f2" focus="100%" type="gradient">
                    <o:fill v:ext="view" type="gradientUnscaled"/>
                  </v:fill>
                </v:rect>
              </w:pict>
            </mc:Fallback>
          </mc:AlternateContent>
        </w:r>
        <w:r w:rsidRPr="00AC45C7">
          <w:rPr>
            <w:rFonts w:cs="Times New Roman"/>
            <w:i/>
            <w:color w:val="1F497D" w:themeColor="text2"/>
            <w:lang w:val="es-ES"/>
          </w:rPr>
          <w:t xml:space="preserve">Página | </w:t>
        </w:r>
        <w:r w:rsidRPr="00AC45C7">
          <w:rPr>
            <w:rFonts w:cs="Times New Roman"/>
            <w:i/>
            <w:color w:val="1F497D" w:themeColor="text2"/>
          </w:rPr>
          <w:fldChar w:fldCharType="begin"/>
        </w:r>
        <w:r w:rsidRPr="00AC45C7">
          <w:rPr>
            <w:rFonts w:cs="Times New Roman"/>
            <w:i/>
            <w:color w:val="1F497D" w:themeColor="text2"/>
          </w:rPr>
          <w:instrText>PAGE   \* MERGEFORMAT</w:instrText>
        </w:r>
        <w:r w:rsidRPr="00AC45C7">
          <w:rPr>
            <w:rFonts w:cs="Times New Roman"/>
            <w:i/>
            <w:color w:val="1F497D" w:themeColor="text2"/>
          </w:rPr>
          <w:fldChar w:fldCharType="separate"/>
        </w:r>
        <w:r w:rsidRPr="004A5583">
          <w:rPr>
            <w:rFonts w:cs="Times New Roman"/>
            <w:i/>
            <w:noProof/>
            <w:color w:val="1F497D" w:themeColor="text2"/>
            <w:lang w:val="es-ES"/>
          </w:rPr>
          <w:t>11</w:t>
        </w:r>
        <w:r w:rsidRPr="00AC45C7">
          <w:rPr>
            <w:rFonts w:cs="Times New Roman"/>
            <w:i/>
            <w:color w:val="1F497D" w:themeColor="text2"/>
          </w:rPr>
          <w:fldChar w:fldCharType="end"/>
        </w:r>
        <w:r w:rsidRPr="00AC45C7">
          <w:rPr>
            <w:rFonts w:cs="Times New Roman"/>
            <w:i/>
            <w:color w:val="1F497D" w:themeColor="text2"/>
            <w:lang w:val="es-ES"/>
          </w:rPr>
          <w:t xml:space="preserve"> </w:t>
        </w:r>
      </w:p>
    </w:sdtContent>
  </w:sdt>
  <w:p w14:paraId="276E102C" w14:textId="77777777" w:rsidR="003E3101" w:rsidRPr="00D5619D" w:rsidRDefault="003E3101" w:rsidP="003813F7">
    <w:pPr>
      <w:pStyle w:val="Piedepgina"/>
      <w:tabs>
        <w:tab w:val="clear" w:pos="8838"/>
        <w:tab w:val="left" w:pos="5173"/>
      </w:tabs>
      <w:rPr>
        <w:rFonts w:cs="Times New Roman"/>
        <w:i/>
        <w:color w:val="1F497D" w:themeColor="text2"/>
      </w:rPr>
    </w:pPr>
    <w:r w:rsidRPr="00D5619D">
      <w:rPr>
        <w:rFonts w:cs="Times New Roman"/>
        <w:i/>
        <w:color w:val="1F497D" w:themeColor="text2"/>
      </w:rPr>
      <w:t>Informe d</w:t>
    </w:r>
    <w:r>
      <w:rPr>
        <w:rFonts w:cs="Times New Roman"/>
        <w:i/>
        <w:color w:val="1F497D" w:themeColor="text2"/>
      </w:rPr>
      <w:t>e las Finanzas Públicas - Tercer Trimestre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55A3C" w14:textId="77777777" w:rsidR="003E3101" w:rsidRDefault="003E3101">
    <w:pPr>
      <w:pStyle w:val="Piedepgina"/>
    </w:pPr>
    <w:r>
      <w:rPr>
        <w:rFonts w:cs="Times New Roman"/>
        <w:i/>
        <w:noProof/>
        <w:color w:val="1F497D" w:themeColor="text2"/>
        <w:lang w:eastAsia="es-GT"/>
      </w:rPr>
      <mc:AlternateContent>
        <mc:Choice Requires="wps">
          <w:drawing>
            <wp:anchor distT="0" distB="0" distL="114300" distR="114300" simplePos="0" relativeHeight="251664386" behindDoc="0" locked="0" layoutInCell="1" allowOverlap="1" wp14:anchorId="11154BC8" wp14:editId="7908F2D9">
              <wp:simplePos x="0" y="0"/>
              <wp:positionH relativeFrom="column">
                <wp:posOffset>77580</wp:posOffset>
              </wp:positionH>
              <wp:positionV relativeFrom="paragraph">
                <wp:posOffset>-206568</wp:posOffset>
              </wp:positionV>
              <wp:extent cx="5931315" cy="47625"/>
              <wp:effectExtent l="0" t="0" r="12700" b="28575"/>
              <wp:wrapNone/>
              <wp:docPr id="17" name="4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31315" cy="4762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77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99000">
                            <a:schemeClr val="bg1">
                              <a:lumMod val="95000"/>
                            </a:schemeClr>
                          </a:gs>
                          <a:gs pos="89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0" scaled="0"/>
                        <a:tileRect/>
                      </a:gradFill>
                      <a:ln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77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99000">
                              <a:schemeClr val="bg1">
                                <a:lumMod val="95000"/>
                              </a:schemeClr>
                            </a:gs>
                            <a:gs pos="89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6500888" id="45 Rectángulo" o:spid="_x0000_s1026" style="position:absolute;margin-left:6.1pt;margin-top:-16.25pt;width:467.05pt;height:3.75pt;z-index:25166438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" fillcolor="#8aabd3 [2132]" strokeweight="2pt">
              <v:fill color2="#f2f2f2 [3052]" rotate="t" angle="90" colors="0 #9ab5e4;50463f #c2d1ed;58327f #e1e8f5;64881f #f2f2f2" focus="100%" type="gradient">
                <o:fill v:ext="view" type="gradientUnscaled"/>
              </v:fill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imes New Roman"/>
        <w:i/>
        <w:color w:val="1F497D" w:themeColor="text2"/>
        <w:lang w:val="es-ES"/>
      </w:rPr>
      <w:id w:val="1089358670"/>
      <w:docPartObj>
        <w:docPartGallery w:val="Page Numbers (Bottom of Page)"/>
        <w:docPartUnique/>
      </w:docPartObj>
    </w:sdtPr>
    <w:sdtContent>
      <w:p w14:paraId="040AFEF9" w14:textId="77777777" w:rsidR="000A5B5B" w:rsidRPr="00AC45C7" w:rsidRDefault="000A5B5B">
        <w:pPr>
          <w:pStyle w:val="Piedepgina"/>
          <w:jc w:val="right"/>
          <w:rPr>
            <w:rFonts w:cs="Times New Roman"/>
            <w:i/>
            <w:color w:val="1F497D" w:themeColor="text2"/>
          </w:rPr>
        </w:pPr>
        <w:r>
          <w:rPr>
            <w:rFonts w:cs="Times New Roman"/>
            <w:i/>
            <w:noProof/>
            <w:color w:val="1F497D" w:themeColor="text2"/>
            <w:lang w:eastAsia="es-GT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1B4743A9" wp14:editId="17FB757A">
                  <wp:simplePos x="0" y="0"/>
                  <wp:positionH relativeFrom="column">
                    <wp:posOffset>77580</wp:posOffset>
                  </wp:positionH>
                  <wp:positionV relativeFrom="paragraph">
                    <wp:posOffset>-58006</wp:posOffset>
                  </wp:positionV>
                  <wp:extent cx="6027089" cy="47708"/>
                  <wp:effectExtent l="0" t="0" r="12065" b="28575"/>
                  <wp:wrapNone/>
                  <wp:docPr id="43" name="43 Rectángul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027089" cy="47708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77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99000">
                                <a:schemeClr val="bg1">
                                  <a:lumMod val="95000"/>
                                </a:schemeClr>
                              </a:gs>
                              <a:gs pos="89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>
                            <a:gradFill>
                              <a:gsLst>
                                <a:gs pos="0">
                                  <a:schemeClr val="accent1">
                                    <a:tint val="66000"/>
                                    <a:satMod val="160000"/>
                                  </a:schemeClr>
                                </a:gs>
                                <a:gs pos="77000">
                                  <a:schemeClr val="accent1">
                                    <a:tint val="44500"/>
                                    <a:satMod val="160000"/>
                                  </a:schemeClr>
                                </a:gs>
                                <a:gs pos="99000">
                                  <a:schemeClr val="bg1">
                                    <a:lumMod val="95000"/>
                                  </a:schemeClr>
                                </a:gs>
                                <a:gs pos="89000">
                                  <a:schemeClr val="accent1"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lin ang="5400000" scaled="0"/>
                            </a:gra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w14:anchorId="0DA1BB64" id="43 Rectángulo" o:spid="_x0000_s1026" style="position:absolute;margin-left:6.1pt;margin-top:-4.55pt;width:474.55pt;height: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" fillcolor="#8aabd3 [2132]" strokeweight="2pt">
                  <v:fill color2="#f2f2f2 [3052]" rotate="t" angle="90" colors="0 #9ab5e4;50463f #c2d1ed;58327f #e1e8f5;64881f #f2f2f2" focus="100%" type="gradient">
                    <o:fill v:ext="view" type="gradientUnscaled"/>
                  </v:fill>
                </v:rect>
              </w:pict>
            </mc:Fallback>
          </mc:AlternateContent>
        </w:r>
        <w:r w:rsidRPr="00AC45C7">
          <w:rPr>
            <w:rFonts w:cs="Times New Roman"/>
            <w:i/>
            <w:color w:val="1F497D" w:themeColor="text2"/>
            <w:lang w:val="es-ES"/>
          </w:rPr>
          <w:t xml:space="preserve">Página | </w:t>
        </w:r>
        <w:r w:rsidRPr="00AC45C7">
          <w:rPr>
            <w:rFonts w:cs="Times New Roman"/>
            <w:i/>
            <w:color w:val="1F497D" w:themeColor="text2"/>
          </w:rPr>
          <w:fldChar w:fldCharType="begin"/>
        </w:r>
        <w:r w:rsidRPr="00AC45C7">
          <w:rPr>
            <w:rFonts w:cs="Times New Roman"/>
            <w:i/>
            <w:color w:val="1F497D" w:themeColor="text2"/>
          </w:rPr>
          <w:instrText>PAGE   \* MERGEFORMAT</w:instrText>
        </w:r>
        <w:r w:rsidRPr="00AC45C7">
          <w:rPr>
            <w:rFonts w:cs="Times New Roman"/>
            <w:i/>
            <w:color w:val="1F497D" w:themeColor="text2"/>
          </w:rPr>
          <w:fldChar w:fldCharType="separate"/>
        </w:r>
        <w:r w:rsidR="004A5583" w:rsidRPr="004A5583">
          <w:rPr>
            <w:rFonts w:cs="Times New Roman"/>
            <w:i/>
            <w:noProof/>
            <w:color w:val="1F497D" w:themeColor="text2"/>
            <w:lang w:val="es-ES"/>
          </w:rPr>
          <w:t>11</w:t>
        </w:r>
        <w:r w:rsidRPr="00AC45C7">
          <w:rPr>
            <w:rFonts w:cs="Times New Roman"/>
            <w:i/>
            <w:color w:val="1F497D" w:themeColor="text2"/>
          </w:rPr>
          <w:fldChar w:fldCharType="end"/>
        </w:r>
        <w:r w:rsidRPr="00AC45C7">
          <w:rPr>
            <w:rFonts w:cs="Times New Roman"/>
            <w:i/>
            <w:color w:val="1F497D" w:themeColor="text2"/>
            <w:lang w:val="es-ES"/>
          </w:rPr>
          <w:t xml:space="preserve"> </w:t>
        </w:r>
      </w:p>
    </w:sdtContent>
  </w:sdt>
  <w:p w14:paraId="34E4454A" w14:textId="373DEE1B" w:rsidR="000A5B5B" w:rsidRPr="00D5619D" w:rsidRDefault="000A5B5B" w:rsidP="003813F7">
    <w:pPr>
      <w:pStyle w:val="Piedepgina"/>
      <w:tabs>
        <w:tab w:val="clear" w:pos="8838"/>
        <w:tab w:val="left" w:pos="5173"/>
      </w:tabs>
      <w:rPr>
        <w:rFonts w:cs="Times New Roman"/>
        <w:i/>
        <w:color w:val="1F497D" w:themeColor="text2"/>
      </w:rPr>
    </w:pPr>
    <w:r w:rsidRPr="00D5619D">
      <w:rPr>
        <w:rFonts w:cs="Times New Roman"/>
        <w:i/>
        <w:color w:val="1F497D" w:themeColor="text2"/>
      </w:rPr>
      <w:t>Informe d</w:t>
    </w:r>
    <w:r>
      <w:rPr>
        <w:rFonts w:cs="Times New Roman"/>
        <w:i/>
        <w:color w:val="1F497D" w:themeColor="text2"/>
      </w:rPr>
      <w:t xml:space="preserve">e las Finanzas Públicas - </w:t>
    </w:r>
    <w:r w:rsidR="00C67AD5">
      <w:rPr>
        <w:rFonts w:cs="Times New Roman"/>
        <w:i/>
        <w:color w:val="1F497D" w:themeColor="text2"/>
      </w:rPr>
      <w:t>Tercer</w:t>
    </w:r>
    <w:r>
      <w:rPr>
        <w:rFonts w:cs="Times New Roman"/>
        <w:i/>
        <w:color w:val="1F497D" w:themeColor="text2"/>
      </w:rPr>
      <w:t xml:space="preserve"> Trimestre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FAAF1" w14:textId="77777777" w:rsidR="000A5B5B" w:rsidRDefault="000A5B5B">
    <w:pPr>
      <w:pStyle w:val="Piedepgina"/>
    </w:pPr>
    <w:r>
      <w:rPr>
        <w:rFonts w:cs="Times New Roman"/>
        <w:i/>
        <w:noProof/>
        <w:color w:val="1F497D" w:themeColor="text2"/>
        <w:lang w:eastAsia="es-GT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C67F3FC" wp14:editId="2B07D3AE">
              <wp:simplePos x="0" y="0"/>
              <wp:positionH relativeFrom="column">
                <wp:posOffset>77580</wp:posOffset>
              </wp:positionH>
              <wp:positionV relativeFrom="paragraph">
                <wp:posOffset>-206568</wp:posOffset>
              </wp:positionV>
              <wp:extent cx="5931315" cy="47625"/>
              <wp:effectExtent l="0" t="0" r="12700" b="28575"/>
              <wp:wrapNone/>
              <wp:docPr id="45" name="4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31315" cy="4762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77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99000">
                            <a:schemeClr val="bg1">
                              <a:lumMod val="95000"/>
                            </a:schemeClr>
                          </a:gs>
                          <a:gs pos="89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0" scaled="0"/>
                        <a:tileRect/>
                      </a:gradFill>
                      <a:ln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77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99000">
                              <a:schemeClr val="bg1">
                                <a:lumMod val="95000"/>
                              </a:schemeClr>
                            </a:gs>
                            <a:gs pos="89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0A46B44" id="45 Rectángulo" o:spid="_x0000_s1026" style="position:absolute;margin-left:6.1pt;margin-top:-16.25pt;width:467.05pt;height:3.7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" fillcolor="#8aabd3 [2132]" strokeweight="2pt">
              <v:fill color2="#f2f2f2 [3052]" rotate="t" angle="90" colors="0 #9ab5e4;50463f #c2d1ed;58327f #e1e8f5;64881f #f2f2f2" focus="100%" type="gradient">
                <o:fill v:ext="view" type="gradientUnscaled"/>
              </v:fill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B7F63" w14:textId="77777777" w:rsidR="00AF0AF4" w:rsidRDefault="00AF0AF4" w:rsidP="000B5E1C">
      <w:r>
        <w:separator/>
      </w:r>
    </w:p>
  </w:footnote>
  <w:footnote w:type="continuationSeparator" w:id="0">
    <w:p w14:paraId="41B1C295" w14:textId="77777777" w:rsidR="00AF0AF4" w:rsidRDefault="00AF0AF4" w:rsidP="000B5E1C">
      <w:r>
        <w:continuationSeparator/>
      </w:r>
    </w:p>
  </w:footnote>
  <w:footnote w:type="continuationNotice" w:id="1">
    <w:p w14:paraId="3F1C3F23" w14:textId="77777777" w:rsidR="00AF0AF4" w:rsidRDefault="00AF0AF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E2AF8" w14:textId="77777777" w:rsidR="003E3101" w:rsidRPr="00AC45C7" w:rsidRDefault="003E3101" w:rsidP="00AC45C7">
    <w:pPr>
      <w:pStyle w:val="Encabezado"/>
      <w:jc w:val="right"/>
      <w:rPr>
        <w:rFonts w:cs="Times New Roman"/>
        <w:i/>
        <w:color w:val="1F497D" w:themeColor="text2"/>
      </w:rPr>
    </w:pPr>
    <w:r>
      <w:rPr>
        <w:rFonts w:cs="Times New Roman"/>
        <w:i/>
        <w:noProof/>
        <w:color w:val="1F497D" w:themeColor="text2"/>
        <w:lang w:eastAsia="es-GT"/>
      </w:rPr>
      <mc:AlternateContent>
        <mc:Choice Requires="wps">
          <w:drawing>
            <wp:anchor distT="0" distB="0" distL="114300" distR="114300" simplePos="0" relativeHeight="251663362" behindDoc="0" locked="0" layoutInCell="1" allowOverlap="1" wp14:anchorId="51A5C5A4" wp14:editId="5F9BFF64">
              <wp:simplePos x="0" y="0"/>
              <wp:positionH relativeFrom="column">
                <wp:posOffset>1147787</wp:posOffset>
              </wp:positionH>
              <wp:positionV relativeFrom="paragraph">
                <wp:posOffset>315840</wp:posOffset>
              </wp:positionV>
              <wp:extent cx="4955442" cy="45719"/>
              <wp:effectExtent l="0" t="0" r="17145" b="12065"/>
              <wp:wrapNone/>
              <wp:docPr id="14" name="44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55442" cy="45719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77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99000">
                            <a:schemeClr val="bg1">
                              <a:lumMod val="95000"/>
                            </a:schemeClr>
                          </a:gs>
                          <a:gs pos="89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0" scaled="0"/>
                        <a:tileRect/>
                      </a:gradFill>
                      <a:ln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77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99000">
                              <a:schemeClr val="bg1">
                                <a:lumMod val="95000"/>
                              </a:schemeClr>
                            </a:gs>
                            <a:gs pos="89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5554B6E" id="44 Rectángulo" o:spid="_x0000_s1026" style="position:absolute;margin-left:90.4pt;margin-top:24.85pt;width:390.2pt;height:3.6pt;z-index:25166336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" fillcolor="#8aabd3 [2132]" strokeweight="2pt">
              <v:fill color2="#f2f2f2 [3052]" rotate="t" angle="90" colors="0 #9ab5e4;50463f #c2d1ed;58327f #e1e8f5;64881f #f2f2f2" focus="100%" type="gradient">
                <o:fill v:ext="view" type="gradientUnscaled"/>
              </v:fill>
            </v:rect>
          </w:pict>
        </mc:Fallback>
      </mc:AlternateContent>
    </w:r>
    <w:r w:rsidRPr="002E105E">
      <w:rPr>
        <w:noProof/>
        <w:sz w:val="20"/>
        <w:lang w:eastAsia="es-GT"/>
      </w:rPr>
      <w:drawing>
        <wp:anchor distT="0" distB="0" distL="114300" distR="114300" simplePos="0" relativeHeight="251665410" behindDoc="1" locked="1" layoutInCell="1" allowOverlap="1" wp14:anchorId="7EA17EDC" wp14:editId="148CAE78">
          <wp:simplePos x="0" y="0"/>
          <wp:positionH relativeFrom="column">
            <wp:posOffset>-635</wp:posOffset>
          </wp:positionH>
          <wp:positionV relativeFrom="page">
            <wp:posOffset>10795</wp:posOffset>
          </wp:positionV>
          <wp:extent cx="1097280" cy="875030"/>
          <wp:effectExtent l="0" t="0" r="7620" b="1270"/>
          <wp:wrapNone/>
          <wp:docPr id="25" name="Picture 15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0" name="Picture 15" descr="Imagen que contiene Diagram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19" t="2313" r="3444" b="87481"/>
                  <a:stretch/>
                </pic:blipFill>
                <pic:spPr bwMode="auto">
                  <a:xfrm>
                    <a:off x="0" y="0"/>
                    <a:ext cx="1097280" cy="8750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45C7">
      <w:rPr>
        <w:rFonts w:cs="Times New Roman"/>
        <w:i/>
        <w:color w:val="1F497D" w:themeColor="text2"/>
      </w:rPr>
      <w:t>Dirección de Análisis y Política Fiscal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14D86" w14:textId="77777777" w:rsidR="003E3101" w:rsidRPr="005329C2" w:rsidRDefault="003E3101" w:rsidP="00CB498E">
    <w:pPr>
      <w:pStyle w:val="Encabezado"/>
      <w:jc w:val="center"/>
      <w:rPr>
        <w:rFonts w:cs="Times New Roman"/>
        <w:i/>
        <w:color w:val="1F497D" w:themeColor="text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4714C" w14:textId="77777777" w:rsidR="000A5B5B" w:rsidRPr="00AC45C7" w:rsidRDefault="000A5B5B" w:rsidP="00AC45C7">
    <w:pPr>
      <w:pStyle w:val="Encabezado"/>
      <w:jc w:val="right"/>
      <w:rPr>
        <w:rFonts w:cs="Times New Roman"/>
        <w:i/>
        <w:color w:val="1F497D" w:themeColor="text2"/>
      </w:rPr>
    </w:pPr>
    <w:r>
      <w:rPr>
        <w:rFonts w:cs="Times New Roman"/>
        <w:i/>
        <w:noProof/>
        <w:color w:val="1F497D" w:themeColor="text2"/>
        <w:lang w:eastAsia="es-GT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DEA52F" wp14:editId="5677A061">
              <wp:simplePos x="0" y="0"/>
              <wp:positionH relativeFrom="column">
                <wp:posOffset>1147787</wp:posOffset>
              </wp:positionH>
              <wp:positionV relativeFrom="paragraph">
                <wp:posOffset>315840</wp:posOffset>
              </wp:positionV>
              <wp:extent cx="4955442" cy="45719"/>
              <wp:effectExtent l="0" t="0" r="17145" b="12065"/>
              <wp:wrapNone/>
              <wp:docPr id="44" name="44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55442" cy="45719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77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99000">
                            <a:schemeClr val="bg1">
                              <a:lumMod val="95000"/>
                            </a:schemeClr>
                          </a:gs>
                          <a:gs pos="89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0" scaled="0"/>
                        <a:tileRect/>
                      </a:gradFill>
                      <a:ln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77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99000">
                              <a:schemeClr val="bg1">
                                <a:lumMod val="95000"/>
                              </a:schemeClr>
                            </a:gs>
                            <a:gs pos="89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3FD8AD1" id="44 Rectángulo" o:spid="_x0000_s1026" style="position:absolute;margin-left:90.4pt;margin-top:24.85pt;width:390.2pt;height:3.6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" fillcolor="#8aabd3 [2132]" strokeweight="2pt">
              <v:fill color2="#f2f2f2 [3052]" rotate="t" angle="90" colors="0 #9ab5e4;50463f #c2d1ed;58327f #e1e8f5;64881f #f2f2f2" focus="100%" type="gradient">
                <o:fill v:ext="view" type="gradientUnscaled"/>
              </v:fill>
            </v:rect>
          </w:pict>
        </mc:Fallback>
      </mc:AlternateContent>
    </w:r>
    <w:r w:rsidRPr="002E105E">
      <w:rPr>
        <w:noProof/>
        <w:sz w:val="20"/>
        <w:lang w:eastAsia="es-GT"/>
      </w:rPr>
      <w:drawing>
        <wp:anchor distT="0" distB="0" distL="114300" distR="114300" simplePos="0" relativeHeight="251660290" behindDoc="1" locked="1" layoutInCell="1" allowOverlap="1" wp14:anchorId="2B23BD24" wp14:editId="5AC8EE41">
          <wp:simplePos x="0" y="0"/>
          <wp:positionH relativeFrom="column">
            <wp:posOffset>-635</wp:posOffset>
          </wp:positionH>
          <wp:positionV relativeFrom="page">
            <wp:posOffset>10795</wp:posOffset>
          </wp:positionV>
          <wp:extent cx="1097280" cy="875030"/>
          <wp:effectExtent l="0" t="0" r="7620" b="1270"/>
          <wp:wrapNone/>
          <wp:docPr id="16" name="Picture 15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0" name="Picture 15" descr="Imagen que contiene Diagram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19" t="2313" r="3444" b="87481"/>
                  <a:stretch/>
                </pic:blipFill>
                <pic:spPr bwMode="auto">
                  <a:xfrm>
                    <a:off x="0" y="0"/>
                    <a:ext cx="1097280" cy="8750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45C7">
      <w:rPr>
        <w:rFonts w:cs="Times New Roman"/>
        <w:i/>
        <w:color w:val="1F497D" w:themeColor="text2"/>
      </w:rPr>
      <w:t>Dirección de Análisis y Política Fiscal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B674F" w14:textId="77777777" w:rsidR="000A5B5B" w:rsidRPr="005329C2" w:rsidRDefault="000A5B5B" w:rsidP="00CB498E">
    <w:pPr>
      <w:pStyle w:val="Encabezado"/>
      <w:jc w:val="center"/>
      <w:rPr>
        <w:rFonts w:cs="Times New Roman"/>
        <w:i/>
        <w:color w:val="1F497D" w:themeColor="text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B160D"/>
    <w:multiLevelType w:val="hybridMultilevel"/>
    <w:tmpl w:val="5652F5FA"/>
    <w:lvl w:ilvl="0" w:tplc="47281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0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C30B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8E2A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3060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7CF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80C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04C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26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11A32CD"/>
    <w:multiLevelType w:val="hybridMultilevel"/>
    <w:tmpl w:val="6818CFE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B3E59"/>
    <w:multiLevelType w:val="hybridMultilevel"/>
    <w:tmpl w:val="F832278A"/>
    <w:lvl w:ilvl="0" w:tplc="4142F53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536B5"/>
    <w:multiLevelType w:val="hybridMultilevel"/>
    <w:tmpl w:val="02E2FB34"/>
    <w:lvl w:ilvl="0" w:tplc="2E828656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11248"/>
    <w:multiLevelType w:val="hybridMultilevel"/>
    <w:tmpl w:val="2E12EF8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A2B56"/>
    <w:multiLevelType w:val="hybridMultilevel"/>
    <w:tmpl w:val="60DAF59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51372"/>
    <w:multiLevelType w:val="multilevel"/>
    <w:tmpl w:val="8960C1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0E5232B"/>
    <w:multiLevelType w:val="hybridMultilevel"/>
    <w:tmpl w:val="E06C4B02"/>
    <w:lvl w:ilvl="0" w:tplc="47281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0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C30B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8E2A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3060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7CF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80C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04C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26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303721B"/>
    <w:multiLevelType w:val="multilevel"/>
    <w:tmpl w:val="432204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7605102"/>
    <w:multiLevelType w:val="hybridMultilevel"/>
    <w:tmpl w:val="FEA4A058"/>
    <w:lvl w:ilvl="0" w:tplc="1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B756652"/>
    <w:multiLevelType w:val="hybridMultilevel"/>
    <w:tmpl w:val="4C3CF3C6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EE5E3C"/>
    <w:multiLevelType w:val="multilevel"/>
    <w:tmpl w:val="10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D3D32D9"/>
    <w:multiLevelType w:val="hybridMultilevel"/>
    <w:tmpl w:val="D6B8F3D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5A09C0"/>
    <w:multiLevelType w:val="hybridMultilevel"/>
    <w:tmpl w:val="92F073A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3A7D94"/>
    <w:multiLevelType w:val="hybridMultilevel"/>
    <w:tmpl w:val="D4A4493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A24AD2"/>
    <w:multiLevelType w:val="multilevel"/>
    <w:tmpl w:val="0C0A0025"/>
    <w:lvl w:ilvl="0">
      <w:start w:val="1"/>
      <w:numFmt w:val="decimal"/>
      <w:pStyle w:val="Ttulo11"/>
      <w:lvlText w:val="%1"/>
      <w:lvlJc w:val="left"/>
      <w:pPr>
        <w:ind w:left="432" w:hanging="432"/>
      </w:pPr>
    </w:lvl>
    <w:lvl w:ilvl="1">
      <w:start w:val="1"/>
      <w:numFmt w:val="decimal"/>
      <w:pStyle w:val="Ttulo21"/>
      <w:lvlText w:val="%1.%2"/>
      <w:lvlJc w:val="left"/>
      <w:pPr>
        <w:ind w:left="576" w:hanging="576"/>
      </w:pPr>
    </w:lvl>
    <w:lvl w:ilvl="2">
      <w:start w:val="1"/>
      <w:numFmt w:val="decimal"/>
      <w:pStyle w:val="Ttulo31"/>
      <w:lvlText w:val="%1.%2.%3"/>
      <w:lvlJc w:val="left"/>
      <w:pPr>
        <w:ind w:left="720" w:hanging="720"/>
      </w:pPr>
    </w:lvl>
    <w:lvl w:ilvl="3">
      <w:start w:val="1"/>
      <w:numFmt w:val="decimal"/>
      <w:pStyle w:val="Ttulo41"/>
      <w:lvlText w:val="%1.%2.%3.%4"/>
      <w:lvlJc w:val="left"/>
      <w:pPr>
        <w:ind w:left="864" w:hanging="864"/>
      </w:pPr>
    </w:lvl>
    <w:lvl w:ilvl="4">
      <w:start w:val="1"/>
      <w:numFmt w:val="decimal"/>
      <w:pStyle w:val="Ttulo51"/>
      <w:lvlText w:val="%1.%2.%3.%4.%5"/>
      <w:lvlJc w:val="left"/>
      <w:pPr>
        <w:ind w:left="1008" w:hanging="1008"/>
      </w:pPr>
    </w:lvl>
    <w:lvl w:ilvl="5">
      <w:start w:val="1"/>
      <w:numFmt w:val="decimal"/>
      <w:pStyle w:val="Ttulo61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1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8E61988"/>
    <w:multiLevelType w:val="hybridMultilevel"/>
    <w:tmpl w:val="7D04A81C"/>
    <w:lvl w:ilvl="0" w:tplc="A1F83D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9344CF8"/>
    <w:multiLevelType w:val="hybridMultilevel"/>
    <w:tmpl w:val="39F4D9A0"/>
    <w:lvl w:ilvl="0" w:tplc="100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88A822C4" w:tentative="1">
      <w:start w:val="1"/>
      <w:numFmt w:val="bullet"/>
      <w:lvlText w:val="•"/>
      <w:lvlJc w:val="left"/>
      <w:pPr>
        <w:tabs>
          <w:tab w:val="num" w:pos="2148"/>
        </w:tabs>
        <w:ind w:left="2148" w:hanging="360"/>
      </w:pPr>
      <w:rPr>
        <w:rFonts w:ascii="Arial" w:hAnsi="Arial" w:hint="default"/>
      </w:rPr>
    </w:lvl>
    <w:lvl w:ilvl="2" w:tplc="0A663566" w:tentative="1">
      <w:start w:val="1"/>
      <w:numFmt w:val="bullet"/>
      <w:lvlText w:val="•"/>
      <w:lvlJc w:val="left"/>
      <w:pPr>
        <w:tabs>
          <w:tab w:val="num" w:pos="2868"/>
        </w:tabs>
        <w:ind w:left="2868" w:hanging="360"/>
      </w:pPr>
      <w:rPr>
        <w:rFonts w:ascii="Arial" w:hAnsi="Arial" w:hint="default"/>
      </w:rPr>
    </w:lvl>
    <w:lvl w:ilvl="3" w:tplc="FC0AC50E" w:tentative="1">
      <w:start w:val="1"/>
      <w:numFmt w:val="bullet"/>
      <w:lvlText w:val="•"/>
      <w:lvlJc w:val="left"/>
      <w:pPr>
        <w:tabs>
          <w:tab w:val="num" w:pos="3588"/>
        </w:tabs>
        <w:ind w:left="3588" w:hanging="360"/>
      </w:pPr>
      <w:rPr>
        <w:rFonts w:ascii="Arial" w:hAnsi="Arial" w:hint="default"/>
      </w:rPr>
    </w:lvl>
    <w:lvl w:ilvl="4" w:tplc="2F2C20D6" w:tentative="1">
      <w:start w:val="1"/>
      <w:numFmt w:val="bullet"/>
      <w:lvlText w:val="•"/>
      <w:lvlJc w:val="left"/>
      <w:pPr>
        <w:tabs>
          <w:tab w:val="num" w:pos="4308"/>
        </w:tabs>
        <w:ind w:left="4308" w:hanging="360"/>
      </w:pPr>
      <w:rPr>
        <w:rFonts w:ascii="Arial" w:hAnsi="Arial" w:hint="default"/>
      </w:rPr>
    </w:lvl>
    <w:lvl w:ilvl="5" w:tplc="3D765614" w:tentative="1">
      <w:start w:val="1"/>
      <w:numFmt w:val="bullet"/>
      <w:lvlText w:val="•"/>
      <w:lvlJc w:val="left"/>
      <w:pPr>
        <w:tabs>
          <w:tab w:val="num" w:pos="5028"/>
        </w:tabs>
        <w:ind w:left="5028" w:hanging="360"/>
      </w:pPr>
      <w:rPr>
        <w:rFonts w:ascii="Arial" w:hAnsi="Arial" w:hint="default"/>
      </w:rPr>
    </w:lvl>
    <w:lvl w:ilvl="6" w:tplc="D7B4C0EE" w:tentative="1">
      <w:start w:val="1"/>
      <w:numFmt w:val="bullet"/>
      <w:lvlText w:val="•"/>
      <w:lvlJc w:val="left"/>
      <w:pPr>
        <w:tabs>
          <w:tab w:val="num" w:pos="5748"/>
        </w:tabs>
        <w:ind w:left="5748" w:hanging="360"/>
      </w:pPr>
      <w:rPr>
        <w:rFonts w:ascii="Arial" w:hAnsi="Arial" w:hint="default"/>
      </w:rPr>
    </w:lvl>
    <w:lvl w:ilvl="7" w:tplc="FFBC65E4" w:tentative="1">
      <w:start w:val="1"/>
      <w:numFmt w:val="bullet"/>
      <w:lvlText w:val="•"/>
      <w:lvlJc w:val="left"/>
      <w:pPr>
        <w:tabs>
          <w:tab w:val="num" w:pos="6468"/>
        </w:tabs>
        <w:ind w:left="6468" w:hanging="360"/>
      </w:pPr>
      <w:rPr>
        <w:rFonts w:ascii="Arial" w:hAnsi="Arial" w:hint="default"/>
      </w:rPr>
    </w:lvl>
    <w:lvl w:ilvl="8" w:tplc="7AD008E2" w:tentative="1">
      <w:start w:val="1"/>
      <w:numFmt w:val="bullet"/>
      <w:lvlText w:val="•"/>
      <w:lvlJc w:val="left"/>
      <w:pPr>
        <w:tabs>
          <w:tab w:val="num" w:pos="7188"/>
        </w:tabs>
        <w:ind w:left="7188" w:hanging="360"/>
      </w:pPr>
      <w:rPr>
        <w:rFonts w:ascii="Arial" w:hAnsi="Arial" w:hint="default"/>
      </w:rPr>
    </w:lvl>
  </w:abstractNum>
  <w:abstractNum w:abstractNumId="18" w15:restartNumberingAfterBreak="0">
    <w:nsid w:val="3F4E4675"/>
    <w:multiLevelType w:val="hybridMultilevel"/>
    <w:tmpl w:val="592A14C8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F878AD"/>
    <w:multiLevelType w:val="multilevel"/>
    <w:tmpl w:val="6BE6BB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23772FF"/>
    <w:multiLevelType w:val="multilevel"/>
    <w:tmpl w:val="8960C1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7455B36"/>
    <w:multiLevelType w:val="hybridMultilevel"/>
    <w:tmpl w:val="2F9A9654"/>
    <w:lvl w:ilvl="0" w:tplc="DB6E853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587C29"/>
    <w:multiLevelType w:val="hybridMultilevel"/>
    <w:tmpl w:val="21D2FB3A"/>
    <w:lvl w:ilvl="0" w:tplc="100A0017">
      <w:start w:val="1"/>
      <w:numFmt w:val="lowerLetter"/>
      <w:lvlText w:val="%1)"/>
      <w:lvlJc w:val="left"/>
      <w:pPr>
        <w:ind w:left="1776" w:hanging="360"/>
      </w:pPr>
    </w:lvl>
    <w:lvl w:ilvl="1" w:tplc="100A0019" w:tentative="1">
      <w:start w:val="1"/>
      <w:numFmt w:val="lowerLetter"/>
      <w:lvlText w:val="%2."/>
      <w:lvlJc w:val="left"/>
      <w:pPr>
        <w:ind w:left="2496" w:hanging="360"/>
      </w:pPr>
    </w:lvl>
    <w:lvl w:ilvl="2" w:tplc="100A001B" w:tentative="1">
      <w:start w:val="1"/>
      <w:numFmt w:val="lowerRoman"/>
      <w:lvlText w:val="%3."/>
      <w:lvlJc w:val="right"/>
      <w:pPr>
        <w:ind w:left="3216" w:hanging="180"/>
      </w:pPr>
    </w:lvl>
    <w:lvl w:ilvl="3" w:tplc="100A000F" w:tentative="1">
      <w:start w:val="1"/>
      <w:numFmt w:val="decimal"/>
      <w:lvlText w:val="%4."/>
      <w:lvlJc w:val="left"/>
      <w:pPr>
        <w:ind w:left="3936" w:hanging="360"/>
      </w:pPr>
    </w:lvl>
    <w:lvl w:ilvl="4" w:tplc="100A0019" w:tentative="1">
      <w:start w:val="1"/>
      <w:numFmt w:val="lowerLetter"/>
      <w:lvlText w:val="%5."/>
      <w:lvlJc w:val="left"/>
      <w:pPr>
        <w:ind w:left="4656" w:hanging="360"/>
      </w:pPr>
    </w:lvl>
    <w:lvl w:ilvl="5" w:tplc="100A001B" w:tentative="1">
      <w:start w:val="1"/>
      <w:numFmt w:val="lowerRoman"/>
      <w:lvlText w:val="%6."/>
      <w:lvlJc w:val="right"/>
      <w:pPr>
        <w:ind w:left="5376" w:hanging="180"/>
      </w:pPr>
    </w:lvl>
    <w:lvl w:ilvl="6" w:tplc="100A000F" w:tentative="1">
      <w:start w:val="1"/>
      <w:numFmt w:val="decimal"/>
      <w:lvlText w:val="%7."/>
      <w:lvlJc w:val="left"/>
      <w:pPr>
        <w:ind w:left="6096" w:hanging="360"/>
      </w:pPr>
    </w:lvl>
    <w:lvl w:ilvl="7" w:tplc="100A0019" w:tentative="1">
      <w:start w:val="1"/>
      <w:numFmt w:val="lowerLetter"/>
      <w:lvlText w:val="%8."/>
      <w:lvlJc w:val="left"/>
      <w:pPr>
        <w:ind w:left="6816" w:hanging="360"/>
      </w:pPr>
    </w:lvl>
    <w:lvl w:ilvl="8" w:tplc="10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 w15:restartNumberingAfterBreak="0">
    <w:nsid w:val="523C077D"/>
    <w:multiLevelType w:val="multilevel"/>
    <w:tmpl w:val="432204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5777B9E"/>
    <w:multiLevelType w:val="hybridMultilevel"/>
    <w:tmpl w:val="3F00470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2A1421"/>
    <w:multiLevelType w:val="multilevel"/>
    <w:tmpl w:val="B63CCF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360" w:hanging="36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8741E90"/>
    <w:multiLevelType w:val="multilevel"/>
    <w:tmpl w:val="58DEA22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8B02801"/>
    <w:multiLevelType w:val="hybridMultilevel"/>
    <w:tmpl w:val="CDF23244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DE5F78"/>
    <w:multiLevelType w:val="multilevel"/>
    <w:tmpl w:val="B63CCF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360" w:hanging="360"/>
      </w:pPr>
      <w:rPr>
        <w:rFonts w:hint="default"/>
        <w:b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C403D22"/>
    <w:multiLevelType w:val="multilevel"/>
    <w:tmpl w:val="10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CE5754F"/>
    <w:multiLevelType w:val="hybridMultilevel"/>
    <w:tmpl w:val="66D0A53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1A7293"/>
    <w:multiLevelType w:val="hybridMultilevel"/>
    <w:tmpl w:val="574693B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9B22BF"/>
    <w:multiLevelType w:val="hybridMultilevel"/>
    <w:tmpl w:val="7D0EE6BA"/>
    <w:lvl w:ilvl="0" w:tplc="FD3A4A76">
      <w:start w:val="1"/>
      <w:numFmt w:val="lowerLetter"/>
      <w:lvlText w:val="%1."/>
      <w:lvlJc w:val="left"/>
      <w:pPr>
        <w:ind w:left="720" w:hanging="360"/>
      </w:pPr>
      <w:rPr>
        <w:sz w:val="24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E267F"/>
    <w:multiLevelType w:val="hybridMultilevel"/>
    <w:tmpl w:val="B18CB370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27D15BE"/>
    <w:multiLevelType w:val="multilevel"/>
    <w:tmpl w:val="E6A250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29C3A2A"/>
    <w:multiLevelType w:val="hybridMultilevel"/>
    <w:tmpl w:val="36860404"/>
    <w:lvl w:ilvl="0" w:tplc="46F0C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40B6EE">
      <w:start w:val="82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3E46F8">
      <w:start w:val="82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BEB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928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6205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56D9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32EC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920C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C3E5119"/>
    <w:multiLevelType w:val="hybridMultilevel"/>
    <w:tmpl w:val="D05E2C2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CB5DA4"/>
    <w:multiLevelType w:val="hybridMultilevel"/>
    <w:tmpl w:val="E174D1C4"/>
    <w:lvl w:ilvl="0" w:tplc="80D279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00A0017">
      <w:start w:val="1"/>
      <w:numFmt w:val="lowerLetter"/>
      <w:lvlText w:val="%2)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36333D"/>
    <w:multiLevelType w:val="hybridMultilevel"/>
    <w:tmpl w:val="C3B0B7DE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3985C45"/>
    <w:multiLevelType w:val="hybridMultilevel"/>
    <w:tmpl w:val="0C14AC04"/>
    <w:lvl w:ilvl="0" w:tplc="100A0017">
      <w:start w:val="1"/>
      <w:numFmt w:val="lowerLetter"/>
      <w:lvlText w:val="%1)"/>
      <w:lvlJc w:val="left"/>
      <w:pPr>
        <w:ind w:left="1068" w:hanging="360"/>
      </w:pPr>
    </w:lvl>
    <w:lvl w:ilvl="1" w:tplc="100A0019" w:tentative="1">
      <w:start w:val="1"/>
      <w:numFmt w:val="lowerLetter"/>
      <w:lvlText w:val="%2."/>
      <w:lvlJc w:val="left"/>
      <w:pPr>
        <w:ind w:left="1788" w:hanging="360"/>
      </w:pPr>
    </w:lvl>
    <w:lvl w:ilvl="2" w:tplc="100A001B" w:tentative="1">
      <w:start w:val="1"/>
      <w:numFmt w:val="lowerRoman"/>
      <w:lvlText w:val="%3."/>
      <w:lvlJc w:val="right"/>
      <w:pPr>
        <w:ind w:left="2508" w:hanging="180"/>
      </w:pPr>
    </w:lvl>
    <w:lvl w:ilvl="3" w:tplc="100A000F" w:tentative="1">
      <w:start w:val="1"/>
      <w:numFmt w:val="decimal"/>
      <w:lvlText w:val="%4."/>
      <w:lvlJc w:val="left"/>
      <w:pPr>
        <w:ind w:left="3228" w:hanging="360"/>
      </w:pPr>
    </w:lvl>
    <w:lvl w:ilvl="4" w:tplc="100A0019" w:tentative="1">
      <w:start w:val="1"/>
      <w:numFmt w:val="lowerLetter"/>
      <w:lvlText w:val="%5."/>
      <w:lvlJc w:val="left"/>
      <w:pPr>
        <w:ind w:left="3948" w:hanging="360"/>
      </w:pPr>
    </w:lvl>
    <w:lvl w:ilvl="5" w:tplc="100A001B" w:tentative="1">
      <w:start w:val="1"/>
      <w:numFmt w:val="lowerRoman"/>
      <w:lvlText w:val="%6."/>
      <w:lvlJc w:val="right"/>
      <w:pPr>
        <w:ind w:left="4668" w:hanging="180"/>
      </w:pPr>
    </w:lvl>
    <w:lvl w:ilvl="6" w:tplc="100A000F" w:tentative="1">
      <w:start w:val="1"/>
      <w:numFmt w:val="decimal"/>
      <w:lvlText w:val="%7."/>
      <w:lvlJc w:val="left"/>
      <w:pPr>
        <w:ind w:left="5388" w:hanging="360"/>
      </w:pPr>
    </w:lvl>
    <w:lvl w:ilvl="7" w:tplc="100A0019" w:tentative="1">
      <w:start w:val="1"/>
      <w:numFmt w:val="lowerLetter"/>
      <w:lvlText w:val="%8."/>
      <w:lvlJc w:val="left"/>
      <w:pPr>
        <w:ind w:left="6108" w:hanging="360"/>
      </w:pPr>
    </w:lvl>
    <w:lvl w:ilvl="8" w:tplc="10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5050691"/>
    <w:multiLevelType w:val="hybridMultilevel"/>
    <w:tmpl w:val="ED325860"/>
    <w:lvl w:ilvl="0" w:tplc="BDAE2E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D86473"/>
    <w:multiLevelType w:val="hybridMultilevel"/>
    <w:tmpl w:val="AFA85F1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490913"/>
    <w:multiLevelType w:val="hybridMultilevel"/>
    <w:tmpl w:val="8D88FC8E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FC208F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05183813">
    <w:abstractNumId w:val="26"/>
  </w:num>
  <w:num w:numId="2" w16cid:durableId="807363469">
    <w:abstractNumId w:val="24"/>
  </w:num>
  <w:num w:numId="3" w16cid:durableId="88159740">
    <w:abstractNumId w:val="13"/>
  </w:num>
  <w:num w:numId="4" w16cid:durableId="199628997">
    <w:abstractNumId w:val="12"/>
  </w:num>
  <w:num w:numId="5" w16cid:durableId="2110468299">
    <w:abstractNumId w:val="30"/>
  </w:num>
  <w:num w:numId="6" w16cid:durableId="1213158544">
    <w:abstractNumId w:val="41"/>
  </w:num>
  <w:num w:numId="7" w16cid:durableId="1525095484">
    <w:abstractNumId w:val="31"/>
  </w:num>
  <w:num w:numId="8" w16cid:durableId="345602063">
    <w:abstractNumId w:val="4"/>
  </w:num>
  <w:num w:numId="9" w16cid:durableId="1334189890">
    <w:abstractNumId w:val="3"/>
  </w:num>
  <w:num w:numId="10" w16cid:durableId="1809391688">
    <w:abstractNumId w:val="19"/>
  </w:num>
  <w:num w:numId="11" w16cid:durableId="1107197304">
    <w:abstractNumId w:val="20"/>
  </w:num>
  <w:num w:numId="12" w16cid:durableId="1479611259">
    <w:abstractNumId w:val="23"/>
  </w:num>
  <w:num w:numId="13" w16cid:durableId="501703968">
    <w:abstractNumId w:val="32"/>
  </w:num>
  <w:num w:numId="14" w16cid:durableId="973558336">
    <w:abstractNumId w:val="27"/>
  </w:num>
  <w:num w:numId="15" w16cid:durableId="213278161">
    <w:abstractNumId w:val="7"/>
  </w:num>
  <w:num w:numId="16" w16cid:durableId="135684944">
    <w:abstractNumId w:val="0"/>
  </w:num>
  <w:num w:numId="17" w16cid:durableId="871963882">
    <w:abstractNumId w:val="17"/>
  </w:num>
  <w:num w:numId="18" w16cid:durableId="513425715">
    <w:abstractNumId w:val="22"/>
  </w:num>
  <w:num w:numId="19" w16cid:durableId="1977031478">
    <w:abstractNumId w:val="35"/>
  </w:num>
  <w:num w:numId="20" w16cid:durableId="550921069">
    <w:abstractNumId w:val="16"/>
  </w:num>
  <w:num w:numId="21" w16cid:durableId="1077634224">
    <w:abstractNumId w:val="37"/>
  </w:num>
  <w:num w:numId="22" w16cid:durableId="752707343">
    <w:abstractNumId w:val="39"/>
  </w:num>
  <w:num w:numId="23" w16cid:durableId="1450591527">
    <w:abstractNumId w:val="15"/>
  </w:num>
  <w:num w:numId="24" w16cid:durableId="1062021968">
    <w:abstractNumId w:val="15"/>
  </w:num>
  <w:num w:numId="25" w16cid:durableId="325523858">
    <w:abstractNumId w:val="9"/>
  </w:num>
  <w:num w:numId="26" w16cid:durableId="766730870">
    <w:abstractNumId w:val="2"/>
  </w:num>
  <w:num w:numId="27" w16cid:durableId="1155998266">
    <w:abstractNumId w:val="36"/>
  </w:num>
  <w:num w:numId="28" w16cid:durableId="213200685">
    <w:abstractNumId w:val="10"/>
  </w:num>
  <w:num w:numId="29" w16cid:durableId="906919327">
    <w:abstractNumId w:val="14"/>
  </w:num>
  <w:num w:numId="30" w16cid:durableId="145443419">
    <w:abstractNumId w:val="40"/>
  </w:num>
  <w:num w:numId="31" w16cid:durableId="805393302">
    <w:abstractNumId w:val="1"/>
  </w:num>
  <w:num w:numId="32" w16cid:durableId="241257642">
    <w:abstractNumId w:val="34"/>
  </w:num>
  <w:num w:numId="33" w16cid:durableId="714549356">
    <w:abstractNumId w:val="42"/>
  </w:num>
  <w:num w:numId="34" w16cid:durableId="1447962893">
    <w:abstractNumId w:val="18"/>
  </w:num>
  <w:num w:numId="35" w16cid:durableId="2066372559">
    <w:abstractNumId w:val="11"/>
  </w:num>
  <w:num w:numId="36" w16cid:durableId="1416244406">
    <w:abstractNumId w:val="43"/>
  </w:num>
  <w:num w:numId="37" w16cid:durableId="699286798">
    <w:abstractNumId w:val="33"/>
  </w:num>
  <w:num w:numId="38" w16cid:durableId="1234240342">
    <w:abstractNumId w:val="21"/>
  </w:num>
  <w:num w:numId="39" w16cid:durableId="903639120">
    <w:abstractNumId w:val="29"/>
  </w:num>
  <w:num w:numId="40" w16cid:durableId="1160847745">
    <w:abstractNumId w:val="6"/>
  </w:num>
  <w:num w:numId="41" w16cid:durableId="2064602110">
    <w:abstractNumId w:val="25"/>
  </w:num>
  <w:num w:numId="42" w16cid:durableId="1479807161">
    <w:abstractNumId w:val="28"/>
  </w:num>
  <w:num w:numId="43" w16cid:durableId="2056274902">
    <w:abstractNumId w:val="8"/>
  </w:num>
  <w:num w:numId="44" w16cid:durableId="1631130847">
    <w:abstractNumId w:val="5"/>
  </w:num>
  <w:num w:numId="45" w16cid:durableId="61810020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598"/>
    <w:rsid w:val="000002AE"/>
    <w:rsid w:val="000003CC"/>
    <w:rsid w:val="00000530"/>
    <w:rsid w:val="00000926"/>
    <w:rsid w:val="000013F6"/>
    <w:rsid w:val="0000165C"/>
    <w:rsid w:val="000019FB"/>
    <w:rsid w:val="00001B7A"/>
    <w:rsid w:val="00001ED4"/>
    <w:rsid w:val="00002881"/>
    <w:rsid w:val="000032AE"/>
    <w:rsid w:val="000038B1"/>
    <w:rsid w:val="00003BA5"/>
    <w:rsid w:val="000045FB"/>
    <w:rsid w:val="00004DCF"/>
    <w:rsid w:val="00004F16"/>
    <w:rsid w:val="00005674"/>
    <w:rsid w:val="00005925"/>
    <w:rsid w:val="00005EB8"/>
    <w:rsid w:val="00006172"/>
    <w:rsid w:val="0000665E"/>
    <w:rsid w:val="000073D2"/>
    <w:rsid w:val="00007F68"/>
    <w:rsid w:val="00010D58"/>
    <w:rsid w:val="000115A2"/>
    <w:rsid w:val="000121A8"/>
    <w:rsid w:val="00012781"/>
    <w:rsid w:val="00012ACD"/>
    <w:rsid w:val="00012FB4"/>
    <w:rsid w:val="0001329E"/>
    <w:rsid w:val="000134F1"/>
    <w:rsid w:val="00013BEC"/>
    <w:rsid w:val="00013C44"/>
    <w:rsid w:val="00013ECF"/>
    <w:rsid w:val="00013FC9"/>
    <w:rsid w:val="00014246"/>
    <w:rsid w:val="0001429E"/>
    <w:rsid w:val="00014EAD"/>
    <w:rsid w:val="00015107"/>
    <w:rsid w:val="00015370"/>
    <w:rsid w:val="00015674"/>
    <w:rsid w:val="00016805"/>
    <w:rsid w:val="00016CEF"/>
    <w:rsid w:val="00017427"/>
    <w:rsid w:val="00017D51"/>
    <w:rsid w:val="00020904"/>
    <w:rsid w:val="0002091B"/>
    <w:rsid w:val="00020D03"/>
    <w:rsid w:val="00020F69"/>
    <w:rsid w:val="000212B0"/>
    <w:rsid w:val="0002188F"/>
    <w:rsid w:val="00021FD5"/>
    <w:rsid w:val="00023745"/>
    <w:rsid w:val="000238F3"/>
    <w:rsid w:val="00023981"/>
    <w:rsid w:val="00023ADD"/>
    <w:rsid w:val="00023DC8"/>
    <w:rsid w:val="00024165"/>
    <w:rsid w:val="000245CA"/>
    <w:rsid w:val="00024BD6"/>
    <w:rsid w:val="00024BF7"/>
    <w:rsid w:val="00024DE4"/>
    <w:rsid w:val="00024FF6"/>
    <w:rsid w:val="00025456"/>
    <w:rsid w:val="00025B90"/>
    <w:rsid w:val="0002670B"/>
    <w:rsid w:val="000267E3"/>
    <w:rsid w:val="00026985"/>
    <w:rsid w:val="00027A8F"/>
    <w:rsid w:val="00027D48"/>
    <w:rsid w:val="000306FE"/>
    <w:rsid w:val="000309EC"/>
    <w:rsid w:val="00031937"/>
    <w:rsid w:val="00031A96"/>
    <w:rsid w:val="00032230"/>
    <w:rsid w:val="0003257D"/>
    <w:rsid w:val="000326D8"/>
    <w:rsid w:val="00032B26"/>
    <w:rsid w:val="00033312"/>
    <w:rsid w:val="00033638"/>
    <w:rsid w:val="00033A52"/>
    <w:rsid w:val="00033B15"/>
    <w:rsid w:val="00033DB1"/>
    <w:rsid w:val="000347FD"/>
    <w:rsid w:val="00035952"/>
    <w:rsid w:val="00035C14"/>
    <w:rsid w:val="00035E51"/>
    <w:rsid w:val="00036843"/>
    <w:rsid w:val="000369C8"/>
    <w:rsid w:val="000410C1"/>
    <w:rsid w:val="0004120F"/>
    <w:rsid w:val="0004212A"/>
    <w:rsid w:val="00042669"/>
    <w:rsid w:val="00042AA3"/>
    <w:rsid w:val="00043B88"/>
    <w:rsid w:val="000441F1"/>
    <w:rsid w:val="000449B7"/>
    <w:rsid w:val="00044AF8"/>
    <w:rsid w:val="000453CA"/>
    <w:rsid w:val="00045570"/>
    <w:rsid w:val="00045861"/>
    <w:rsid w:val="00045CD6"/>
    <w:rsid w:val="00046004"/>
    <w:rsid w:val="00046060"/>
    <w:rsid w:val="00046F9F"/>
    <w:rsid w:val="000476BB"/>
    <w:rsid w:val="000476F2"/>
    <w:rsid w:val="00047AF2"/>
    <w:rsid w:val="000500D6"/>
    <w:rsid w:val="00050721"/>
    <w:rsid w:val="00051734"/>
    <w:rsid w:val="00051879"/>
    <w:rsid w:val="0005215A"/>
    <w:rsid w:val="00053482"/>
    <w:rsid w:val="00053A65"/>
    <w:rsid w:val="00053AD6"/>
    <w:rsid w:val="00053DB7"/>
    <w:rsid w:val="00053F58"/>
    <w:rsid w:val="0005529E"/>
    <w:rsid w:val="00055614"/>
    <w:rsid w:val="00055925"/>
    <w:rsid w:val="00055D08"/>
    <w:rsid w:val="00055DD0"/>
    <w:rsid w:val="00056E8E"/>
    <w:rsid w:val="00057827"/>
    <w:rsid w:val="00057B7D"/>
    <w:rsid w:val="00057EB8"/>
    <w:rsid w:val="000617F8"/>
    <w:rsid w:val="00061975"/>
    <w:rsid w:val="00061E2E"/>
    <w:rsid w:val="0006231C"/>
    <w:rsid w:val="00062CBA"/>
    <w:rsid w:val="00062E16"/>
    <w:rsid w:val="00062ED8"/>
    <w:rsid w:val="00063364"/>
    <w:rsid w:val="00063373"/>
    <w:rsid w:val="00063A1D"/>
    <w:rsid w:val="00063CB5"/>
    <w:rsid w:val="000642AF"/>
    <w:rsid w:val="0006477B"/>
    <w:rsid w:val="00064BA9"/>
    <w:rsid w:val="00064EA8"/>
    <w:rsid w:val="00065259"/>
    <w:rsid w:val="00065451"/>
    <w:rsid w:val="000655A9"/>
    <w:rsid w:val="00065991"/>
    <w:rsid w:val="00065C24"/>
    <w:rsid w:val="00066095"/>
    <w:rsid w:val="00066286"/>
    <w:rsid w:val="0006680E"/>
    <w:rsid w:val="00066CD1"/>
    <w:rsid w:val="00067459"/>
    <w:rsid w:val="00067741"/>
    <w:rsid w:val="000678AC"/>
    <w:rsid w:val="00067B4A"/>
    <w:rsid w:val="00070108"/>
    <w:rsid w:val="00070552"/>
    <w:rsid w:val="000705C1"/>
    <w:rsid w:val="000706ED"/>
    <w:rsid w:val="000707A3"/>
    <w:rsid w:val="00070899"/>
    <w:rsid w:val="00070A2D"/>
    <w:rsid w:val="00071109"/>
    <w:rsid w:val="00071810"/>
    <w:rsid w:val="00071B55"/>
    <w:rsid w:val="00071CAF"/>
    <w:rsid w:val="00071DD6"/>
    <w:rsid w:val="00072136"/>
    <w:rsid w:val="00072BAA"/>
    <w:rsid w:val="00072C8D"/>
    <w:rsid w:val="0007319D"/>
    <w:rsid w:val="00073457"/>
    <w:rsid w:val="000737A4"/>
    <w:rsid w:val="000741A3"/>
    <w:rsid w:val="00074337"/>
    <w:rsid w:val="00074476"/>
    <w:rsid w:val="00074844"/>
    <w:rsid w:val="00074C38"/>
    <w:rsid w:val="00075216"/>
    <w:rsid w:val="000754D5"/>
    <w:rsid w:val="00076415"/>
    <w:rsid w:val="00077425"/>
    <w:rsid w:val="0007767A"/>
    <w:rsid w:val="00080F11"/>
    <w:rsid w:val="00080F5E"/>
    <w:rsid w:val="00081A07"/>
    <w:rsid w:val="00082333"/>
    <w:rsid w:val="000823E4"/>
    <w:rsid w:val="0008278D"/>
    <w:rsid w:val="00082DFF"/>
    <w:rsid w:val="00082E65"/>
    <w:rsid w:val="00083239"/>
    <w:rsid w:val="000836FF"/>
    <w:rsid w:val="0008380C"/>
    <w:rsid w:val="00083DEF"/>
    <w:rsid w:val="000846BE"/>
    <w:rsid w:val="00084748"/>
    <w:rsid w:val="000852BF"/>
    <w:rsid w:val="000853F6"/>
    <w:rsid w:val="000858E9"/>
    <w:rsid w:val="00085E1C"/>
    <w:rsid w:val="0008619F"/>
    <w:rsid w:val="000865AA"/>
    <w:rsid w:val="00086C6E"/>
    <w:rsid w:val="00087430"/>
    <w:rsid w:val="00087551"/>
    <w:rsid w:val="0008775B"/>
    <w:rsid w:val="00087EC1"/>
    <w:rsid w:val="00087EE1"/>
    <w:rsid w:val="00087EFB"/>
    <w:rsid w:val="00090202"/>
    <w:rsid w:val="00090AF4"/>
    <w:rsid w:val="00090C53"/>
    <w:rsid w:val="000918BC"/>
    <w:rsid w:val="00091942"/>
    <w:rsid w:val="00091A7F"/>
    <w:rsid w:val="00092A19"/>
    <w:rsid w:val="00093371"/>
    <w:rsid w:val="00093A1B"/>
    <w:rsid w:val="000944FE"/>
    <w:rsid w:val="00094A23"/>
    <w:rsid w:val="00094E26"/>
    <w:rsid w:val="0009511C"/>
    <w:rsid w:val="00095331"/>
    <w:rsid w:val="000958AF"/>
    <w:rsid w:val="00096497"/>
    <w:rsid w:val="00096FA6"/>
    <w:rsid w:val="00097862"/>
    <w:rsid w:val="00097889"/>
    <w:rsid w:val="000A1AB2"/>
    <w:rsid w:val="000A1BF3"/>
    <w:rsid w:val="000A2C08"/>
    <w:rsid w:val="000A2D14"/>
    <w:rsid w:val="000A2D19"/>
    <w:rsid w:val="000A2D1D"/>
    <w:rsid w:val="000A424A"/>
    <w:rsid w:val="000A47FE"/>
    <w:rsid w:val="000A5922"/>
    <w:rsid w:val="000A5B5B"/>
    <w:rsid w:val="000A5E16"/>
    <w:rsid w:val="000A5FC5"/>
    <w:rsid w:val="000A60A1"/>
    <w:rsid w:val="000A6C8D"/>
    <w:rsid w:val="000A74BA"/>
    <w:rsid w:val="000A7E28"/>
    <w:rsid w:val="000B04CE"/>
    <w:rsid w:val="000B057B"/>
    <w:rsid w:val="000B072C"/>
    <w:rsid w:val="000B0FCB"/>
    <w:rsid w:val="000B12F0"/>
    <w:rsid w:val="000B1376"/>
    <w:rsid w:val="000B1C5F"/>
    <w:rsid w:val="000B1E68"/>
    <w:rsid w:val="000B20C3"/>
    <w:rsid w:val="000B2992"/>
    <w:rsid w:val="000B29FE"/>
    <w:rsid w:val="000B2E7A"/>
    <w:rsid w:val="000B346C"/>
    <w:rsid w:val="000B404E"/>
    <w:rsid w:val="000B4083"/>
    <w:rsid w:val="000B4154"/>
    <w:rsid w:val="000B46D9"/>
    <w:rsid w:val="000B4929"/>
    <w:rsid w:val="000B4A3D"/>
    <w:rsid w:val="000B5075"/>
    <w:rsid w:val="000B5A6C"/>
    <w:rsid w:val="000B5CD0"/>
    <w:rsid w:val="000B5E1C"/>
    <w:rsid w:val="000B6143"/>
    <w:rsid w:val="000B6B1B"/>
    <w:rsid w:val="000B72EA"/>
    <w:rsid w:val="000B75A4"/>
    <w:rsid w:val="000B76E1"/>
    <w:rsid w:val="000B778D"/>
    <w:rsid w:val="000C0470"/>
    <w:rsid w:val="000C070B"/>
    <w:rsid w:val="000C10D5"/>
    <w:rsid w:val="000C18E5"/>
    <w:rsid w:val="000C1B89"/>
    <w:rsid w:val="000C1CC5"/>
    <w:rsid w:val="000C1F8D"/>
    <w:rsid w:val="000C20CC"/>
    <w:rsid w:val="000C25EB"/>
    <w:rsid w:val="000C27C6"/>
    <w:rsid w:val="000C283B"/>
    <w:rsid w:val="000C3476"/>
    <w:rsid w:val="000C3496"/>
    <w:rsid w:val="000C3E95"/>
    <w:rsid w:val="000C487F"/>
    <w:rsid w:val="000C4AD1"/>
    <w:rsid w:val="000C51BD"/>
    <w:rsid w:val="000C51D3"/>
    <w:rsid w:val="000C5320"/>
    <w:rsid w:val="000C54D3"/>
    <w:rsid w:val="000C5BA6"/>
    <w:rsid w:val="000C5BDD"/>
    <w:rsid w:val="000C662D"/>
    <w:rsid w:val="000C7076"/>
    <w:rsid w:val="000C71BD"/>
    <w:rsid w:val="000C795B"/>
    <w:rsid w:val="000C7961"/>
    <w:rsid w:val="000C7E9B"/>
    <w:rsid w:val="000D0188"/>
    <w:rsid w:val="000D1059"/>
    <w:rsid w:val="000D15A1"/>
    <w:rsid w:val="000D17AF"/>
    <w:rsid w:val="000D2677"/>
    <w:rsid w:val="000D2952"/>
    <w:rsid w:val="000D29F4"/>
    <w:rsid w:val="000D2CF4"/>
    <w:rsid w:val="000D2D05"/>
    <w:rsid w:val="000D2DE9"/>
    <w:rsid w:val="000D2DF6"/>
    <w:rsid w:val="000D2F4D"/>
    <w:rsid w:val="000D34A3"/>
    <w:rsid w:val="000D3566"/>
    <w:rsid w:val="000D365F"/>
    <w:rsid w:val="000D3F6A"/>
    <w:rsid w:val="000D4B4D"/>
    <w:rsid w:val="000D4B80"/>
    <w:rsid w:val="000D4BC3"/>
    <w:rsid w:val="000D4CB3"/>
    <w:rsid w:val="000D57BA"/>
    <w:rsid w:val="000D58D6"/>
    <w:rsid w:val="000D5BE8"/>
    <w:rsid w:val="000D734F"/>
    <w:rsid w:val="000D7477"/>
    <w:rsid w:val="000D7805"/>
    <w:rsid w:val="000D7EEB"/>
    <w:rsid w:val="000E055B"/>
    <w:rsid w:val="000E058F"/>
    <w:rsid w:val="000E08B2"/>
    <w:rsid w:val="000E0D12"/>
    <w:rsid w:val="000E0DAA"/>
    <w:rsid w:val="000E0E1E"/>
    <w:rsid w:val="000E0EB5"/>
    <w:rsid w:val="000E0F3C"/>
    <w:rsid w:val="000E1495"/>
    <w:rsid w:val="000E193E"/>
    <w:rsid w:val="000E3036"/>
    <w:rsid w:val="000E3B60"/>
    <w:rsid w:val="000E3BAE"/>
    <w:rsid w:val="000E3E7A"/>
    <w:rsid w:val="000E488C"/>
    <w:rsid w:val="000E4E2E"/>
    <w:rsid w:val="000E51BC"/>
    <w:rsid w:val="000E56E2"/>
    <w:rsid w:val="000E5739"/>
    <w:rsid w:val="000E5997"/>
    <w:rsid w:val="000E5A40"/>
    <w:rsid w:val="000E5CCD"/>
    <w:rsid w:val="000E5D0D"/>
    <w:rsid w:val="000E60F8"/>
    <w:rsid w:val="000E6989"/>
    <w:rsid w:val="000E7209"/>
    <w:rsid w:val="000E7387"/>
    <w:rsid w:val="000E79A8"/>
    <w:rsid w:val="000E7AE8"/>
    <w:rsid w:val="000F049B"/>
    <w:rsid w:val="000F058D"/>
    <w:rsid w:val="000F0DA3"/>
    <w:rsid w:val="000F1214"/>
    <w:rsid w:val="000F19C1"/>
    <w:rsid w:val="000F2939"/>
    <w:rsid w:val="000F2D5F"/>
    <w:rsid w:val="000F3450"/>
    <w:rsid w:val="000F3942"/>
    <w:rsid w:val="000F3AC7"/>
    <w:rsid w:val="000F41CA"/>
    <w:rsid w:val="000F4380"/>
    <w:rsid w:val="000F45C8"/>
    <w:rsid w:val="000F462B"/>
    <w:rsid w:val="000F4B0C"/>
    <w:rsid w:val="000F4F51"/>
    <w:rsid w:val="000F5067"/>
    <w:rsid w:val="000F53ED"/>
    <w:rsid w:val="000F55E5"/>
    <w:rsid w:val="000F62DA"/>
    <w:rsid w:val="000F7C74"/>
    <w:rsid w:val="001009C9"/>
    <w:rsid w:val="00100D98"/>
    <w:rsid w:val="00100FAB"/>
    <w:rsid w:val="001012BA"/>
    <w:rsid w:val="001016EC"/>
    <w:rsid w:val="00101781"/>
    <w:rsid w:val="00101A90"/>
    <w:rsid w:val="00101FE5"/>
    <w:rsid w:val="0010220A"/>
    <w:rsid w:val="00102276"/>
    <w:rsid w:val="001023B3"/>
    <w:rsid w:val="001030E8"/>
    <w:rsid w:val="00103354"/>
    <w:rsid w:val="00103E94"/>
    <w:rsid w:val="00103FCC"/>
    <w:rsid w:val="001043AB"/>
    <w:rsid w:val="001057E4"/>
    <w:rsid w:val="00105C3B"/>
    <w:rsid w:val="00105EBF"/>
    <w:rsid w:val="001068D2"/>
    <w:rsid w:val="0010690C"/>
    <w:rsid w:val="00106959"/>
    <w:rsid w:val="001069AF"/>
    <w:rsid w:val="00106B8A"/>
    <w:rsid w:val="00106E19"/>
    <w:rsid w:val="00106EF4"/>
    <w:rsid w:val="0010734F"/>
    <w:rsid w:val="00107432"/>
    <w:rsid w:val="00107A66"/>
    <w:rsid w:val="00107D8A"/>
    <w:rsid w:val="001100B3"/>
    <w:rsid w:val="00110318"/>
    <w:rsid w:val="001107CB"/>
    <w:rsid w:val="001111A3"/>
    <w:rsid w:val="00111626"/>
    <w:rsid w:val="00111D58"/>
    <w:rsid w:val="00112008"/>
    <w:rsid w:val="00112A52"/>
    <w:rsid w:val="00112EB2"/>
    <w:rsid w:val="00113A1E"/>
    <w:rsid w:val="00113D53"/>
    <w:rsid w:val="00114083"/>
    <w:rsid w:val="0011428C"/>
    <w:rsid w:val="0011429F"/>
    <w:rsid w:val="001142BF"/>
    <w:rsid w:val="001144CE"/>
    <w:rsid w:val="00114548"/>
    <w:rsid w:val="00114555"/>
    <w:rsid w:val="001147A1"/>
    <w:rsid w:val="00115772"/>
    <w:rsid w:val="00115AE0"/>
    <w:rsid w:val="00116127"/>
    <w:rsid w:val="00116A12"/>
    <w:rsid w:val="00117AC8"/>
    <w:rsid w:val="00117DB5"/>
    <w:rsid w:val="001209E8"/>
    <w:rsid w:val="00120BFC"/>
    <w:rsid w:val="00120FEC"/>
    <w:rsid w:val="00121349"/>
    <w:rsid w:val="001214B6"/>
    <w:rsid w:val="00121649"/>
    <w:rsid w:val="00121A26"/>
    <w:rsid w:val="00122981"/>
    <w:rsid w:val="00122F2F"/>
    <w:rsid w:val="00122FDE"/>
    <w:rsid w:val="0012357F"/>
    <w:rsid w:val="00123CB6"/>
    <w:rsid w:val="00125827"/>
    <w:rsid w:val="0012656D"/>
    <w:rsid w:val="00126E0E"/>
    <w:rsid w:val="00126FD5"/>
    <w:rsid w:val="001273C0"/>
    <w:rsid w:val="00127460"/>
    <w:rsid w:val="0012763E"/>
    <w:rsid w:val="001276C3"/>
    <w:rsid w:val="0012782F"/>
    <w:rsid w:val="0012783A"/>
    <w:rsid w:val="00127FBD"/>
    <w:rsid w:val="00130BCE"/>
    <w:rsid w:val="001313C1"/>
    <w:rsid w:val="00131669"/>
    <w:rsid w:val="00131ABF"/>
    <w:rsid w:val="00131D6C"/>
    <w:rsid w:val="00131D79"/>
    <w:rsid w:val="001323BD"/>
    <w:rsid w:val="00132DC4"/>
    <w:rsid w:val="00133083"/>
    <w:rsid w:val="0013422C"/>
    <w:rsid w:val="00134770"/>
    <w:rsid w:val="0013499D"/>
    <w:rsid w:val="00135143"/>
    <w:rsid w:val="00135308"/>
    <w:rsid w:val="001359D4"/>
    <w:rsid w:val="00135FB7"/>
    <w:rsid w:val="0013608E"/>
    <w:rsid w:val="00136243"/>
    <w:rsid w:val="00136F6F"/>
    <w:rsid w:val="001375AC"/>
    <w:rsid w:val="001401B1"/>
    <w:rsid w:val="001408F3"/>
    <w:rsid w:val="00141216"/>
    <w:rsid w:val="0014145A"/>
    <w:rsid w:val="00141467"/>
    <w:rsid w:val="0014161C"/>
    <w:rsid w:val="00141D10"/>
    <w:rsid w:val="001427D5"/>
    <w:rsid w:val="00143578"/>
    <w:rsid w:val="001440DB"/>
    <w:rsid w:val="00144147"/>
    <w:rsid w:val="00144962"/>
    <w:rsid w:val="00144D8F"/>
    <w:rsid w:val="00145AE6"/>
    <w:rsid w:val="0014637C"/>
    <w:rsid w:val="00146B11"/>
    <w:rsid w:val="00146C6D"/>
    <w:rsid w:val="00146E1A"/>
    <w:rsid w:val="001470BF"/>
    <w:rsid w:val="0014747D"/>
    <w:rsid w:val="001479E4"/>
    <w:rsid w:val="00147A6B"/>
    <w:rsid w:val="00147BFA"/>
    <w:rsid w:val="00147D82"/>
    <w:rsid w:val="00147F55"/>
    <w:rsid w:val="001500AB"/>
    <w:rsid w:val="001504EE"/>
    <w:rsid w:val="00150748"/>
    <w:rsid w:val="00151A60"/>
    <w:rsid w:val="0015220B"/>
    <w:rsid w:val="00152237"/>
    <w:rsid w:val="0015275F"/>
    <w:rsid w:val="00152BD7"/>
    <w:rsid w:val="00153096"/>
    <w:rsid w:val="00153921"/>
    <w:rsid w:val="00153B8C"/>
    <w:rsid w:val="00153D01"/>
    <w:rsid w:val="00154995"/>
    <w:rsid w:val="00154AFD"/>
    <w:rsid w:val="0015532C"/>
    <w:rsid w:val="001559F9"/>
    <w:rsid w:val="00155DDA"/>
    <w:rsid w:val="001560C9"/>
    <w:rsid w:val="001565F1"/>
    <w:rsid w:val="001574E6"/>
    <w:rsid w:val="00157E39"/>
    <w:rsid w:val="0016015D"/>
    <w:rsid w:val="001604DC"/>
    <w:rsid w:val="001604E9"/>
    <w:rsid w:val="001605C0"/>
    <w:rsid w:val="00160BA5"/>
    <w:rsid w:val="001610AF"/>
    <w:rsid w:val="0016130F"/>
    <w:rsid w:val="001613DC"/>
    <w:rsid w:val="001614F2"/>
    <w:rsid w:val="00161C57"/>
    <w:rsid w:val="001623FA"/>
    <w:rsid w:val="0016259E"/>
    <w:rsid w:val="001628C8"/>
    <w:rsid w:val="00162970"/>
    <w:rsid w:val="0016346E"/>
    <w:rsid w:val="00163B12"/>
    <w:rsid w:val="00163DED"/>
    <w:rsid w:val="0016414B"/>
    <w:rsid w:val="00164250"/>
    <w:rsid w:val="00164331"/>
    <w:rsid w:val="001650AC"/>
    <w:rsid w:val="0016510F"/>
    <w:rsid w:val="00165BF3"/>
    <w:rsid w:val="00165C20"/>
    <w:rsid w:val="00166CE0"/>
    <w:rsid w:val="00166E43"/>
    <w:rsid w:val="00166FAB"/>
    <w:rsid w:val="001672FB"/>
    <w:rsid w:val="001674F6"/>
    <w:rsid w:val="00167B5B"/>
    <w:rsid w:val="00167C01"/>
    <w:rsid w:val="001701AC"/>
    <w:rsid w:val="001703DF"/>
    <w:rsid w:val="0017086E"/>
    <w:rsid w:val="001708EB"/>
    <w:rsid w:val="00170F9B"/>
    <w:rsid w:val="001718B6"/>
    <w:rsid w:val="00173552"/>
    <w:rsid w:val="00173633"/>
    <w:rsid w:val="00173790"/>
    <w:rsid w:val="00173979"/>
    <w:rsid w:val="00174404"/>
    <w:rsid w:val="00174CC9"/>
    <w:rsid w:val="00175199"/>
    <w:rsid w:val="001756B6"/>
    <w:rsid w:val="00175DBD"/>
    <w:rsid w:val="001765BE"/>
    <w:rsid w:val="00176A38"/>
    <w:rsid w:val="00177A7B"/>
    <w:rsid w:val="00180370"/>
    <w:rsid w:val="00180579"/>
    <w:rsid w:val="0018117D"/>
    <w:rsid w:val="00181854"/>
    <w:rsid w:val="00181AAA"/>
    <w:rsid w:val="00181AC7"/>
    <w:rsid w:val="00181E8C"/>
    <w:rsid w:val="001822D3"/>
    <w:rsid w:val="00182971"/>
    <w:rsid w:val="00182B79"/>
    <w:rsid w:val="00182E81"/>
    <w:rsid w:val="001832CB"/>
    <w:rsid w:val="001838CB"/>
    <w:rsid w:val="00183B3E"/>
    <w:rsid w:val="00183D01"/>
    <w:rsid w:val="00183EC1"/>
    <w:rsid w:val="00183EF6"/>
    <w:rsid w:val="00184554"/>
    <w:rsid w:val="001846A0"/>
    <w:rsid w:val="00184930"/>
    <w:rsid w:val="00185191"/>
    <w:rsid w:val="001864AB"/>
    <w:rsid w:val="00186ACF"/>
    <w:rsid w:val="00186F1E"/>
    <w:rsid w:val="00190258"/>
    <w:rsid w:val="001906F4"/>
    <w:rsid w:val="00190C51"/>
    <w:rsid w:val="00190FE8"/>
    <w:rsid w:val="00191BA7"/>
    <w:rsid w:val="0019223F"/>
    <w:rsid w:val="00192264"/>
    <w:rsid w:val="001927C6"/>
    <w:rsid w:val="001932CF"/>
    <w:rsid w:val="00193413"/>
    <w:rsid w:val="00193495"/>
    <w:rsid w:val="00193510"/>
    <w:rsid w:val="00193923"/>
    <w:rsid w:val="00193B3F"/>
    <w:rsid w:val="00193F01"/>
    <w:rsid w:val="00195129"/>
    <w:rsid w:val="00196269"/>
    <w:rsid w:val="00196296"/>
    <w:rsid w:val="001965C3"/>
    <w:rsid w:val="0019663D"/>
    <w:rsid w:val="00196B0B"/>
    <w:rsid w:val="00197385"/>
    <w:rsid w:val="00197631"/>
    <w:rsid w:val="001979A1"/>
    <w:rsid w:val="00197C75"/>
    <w:rsid w:val="001A0005"/>
    <w:rsid w:val="001A00C9"/>
    <w:rsid w:val="001A022D"/>
    <w:rsid w:val="001A06FB"/>
    <w:rsid w:val="001A16C4"/>
    <w:rsid w:val="001A1804"/>
    <w:rsid w:val="001A1D21"/>
    <w:rsid w:val="001A1E5E"/>
    <w:rsid w:val="001A20FB"/>
    <w:rsid w:val="001A2E9A"/>
    <w:rsid w:val="001A2EF4"/>
    <w:rsid w:val="001A30CA"/>
    <w:rsid w:val="001A3807"/>
    <w:rsid w:val="001A3DAA"/>
    <w:rsid w:val="001A4726"/>
    <w:rsid w:val="001A47B1"/>
    <w:rsid w:val="001A4D7B"/>
    <w:rsid w:val="001A5253"/>
    <w:rsid w:val="001A5694"/>
    <w:rsid w:val="001A683F"/>
    <w:rsid w:val="001A6FDA"/>
    <w:rsid w:val="001A708A"/>
    <w:rsid w:val="001A70BA"/>
    <w:rsid w:val="001A7138"/>
    <w:rsid w:val="001A7605"/>
    <w:rsid w:val="001A76BF"/>
    <w:rsid w:val="001A7B54"/>
    <w:rsid w:val="001A7B66"/>
    <w:rsid w:val="001B0B04"/>
    <w:rsid w:val="001B0E2C"/>
    <w:rsid w:val="001B1571"/>
    <w:rsid w:val="001B1821"/>
    <w:rsid w:val="001B1E40"/>
    <w:rsid w:val="001B21B7"/>
    <w:rsid w:val="001B285E"/>
    <w:rsid w:val="001B2897"/>
    <w:rsid w:val="001B2958"/>
    <w:rsid w:val="001B29CF"/>
    <w:rsid w:val="001B2B19"/>
    <w:rsid w:val="001B2CE4"/>
    <w:rsid w:val="001B2E72"/>
    <w:rsid w:val="001B3A8F"/>
    <w:rsid w:val="001B3C43"/>
    <w:rsid w:val="001B3FE3"/>
    <w:rsid w:val="001B423D"/>
    <w:rsid w:val="001B4D15"/>
    <w:rsid w:val="001B55B2"/>
    <w:rsid w:val="001B61DF"/>
    <w:rsid w:val="001B631F"/>
    <w:rsid w:val="001B65C3"/>
    <w:rsid w:val="001B6A91"/>
    <w:rsid w:val="001B6D43"/>
    <w:rsid w:val="001B71EE"/>
    <w:rsid w:val="001B7969"/>
    <w:rsid w:val="001B7BC8"/>
    <w:rsid w:val="001C0194"/>
    <w:rsid w:val="001C0450"/>
    <w:rsid w:val="001C0FBC"/>
    <w:rsid w:val="001C19CB"/>
    <w:rsid w:val="001C1B0B"/>
    <w:rsid w:val="001C1F0C"/>
    <w:rsid w:val="001C29A0"/>
    <w:rsid w:val="001C2DA4"/>
    <w:rsid w:val="001C2E49"/>
    <w:rsid w:val="001C336B"/>
    <w:rsid w:val="001C34B5"/>
    <w:rsid w:val="001C353B"/>
    <w:rsid w:val="001C3932"/>
    <w:rsid w:val="001C3AE9"/>
    <w:rsid w:val="001C3CED"/>
    <w:rsid w:val="001C3E21"/>
    <w:rsid w:val="001C41AB"/>
    <w:rsid w:val="001C4E87"/>
    <w:rsid w:val="001C508F"/>
    <w:rsid w:val="001C5217"/>
    <w:rsid w:val="001C55F6"/>
    <w:rsid w:val="001C5F1C"/>
    <w:rsid w:val="001C6301"/>
    <w:rsid w:val="001C677D"/>
    <w:rsid w:val="001C7576"/>
    <w:rsid w:val="001C76CC"/>
    <w:rsid w:val="001C788D"/>
    <w:rsid w:val="001D0130"/>
    <w:rsid w:val="001D016C"/>
    <w:rsid w:val="001D10C0"/>
    <w:rsid w:val="001D1179"/>
    <w:rsid w:val="001D17CB"/>
    <w:rsid w:val="001D1A94"/>
    <w:rsid w:val="001D1C90"/>
    <w:rsid w:val="001D1C9B"/>
    <w:rsid w:val="001D1D27"/>
    <w:rsid w:val="001D2C47"/>
    <w:rsid w:val="001D37C1"/>
    <w:rsid w:val="001D41AC"/>
    <w:rsid w:val="001D47C7"/>
    <w:rsid w:val="001D4B18"/>
    <w:rsid w:val="001D54E4"/>
    <w:rsid w:val="001D708B"/>
    <w:rsid w:val="001D73AE"/>
    <w:rsid w:val="001E06F3"/>
    <w:rsid w:val="001E0870"/>
    <w:rsid w:val="001E0EF9"/>
    <w:rsid w:val="001E130A"/>
    <w:rsid w:val="001E13D9"/>
    <w:rsid w:val="001E1AAB"/>
    <w:rsid w:val="001E1FE1"/>
    <w:rsid w:val="001E2C3C"/>
    <w:rsid w:val="001E3041"/>
    <w:rsid w:val="001E331B"/>
    <w:rsid w:val="001E40E6"/>
    <w:rsid w:val="001E4277"/>
    <w:rsid w:val="001E4671"/>
    <w:rsid w:val="001E4C34"/>
    <w:rsid w:val="001E4D39"/>
    <w:rsid w:val="001E4E3D"/>
    <w:rsid w:val="001E5588"/>
    <w:rsid w:val="001E5D28"/>
    <w:rsid w:val="001E62DA"/>
    <w:rsid w:val="001E7182"/>
    <w:rsid w:val="001E71BF"/>
    <w:rsid w:val="001E7E64"/>
    <w:rsid w:val="001F07B8"/>
    <w:rsid w:val="001F135F"/>
    <w:rsid w:val="001F144F"/>
    <w:rsid w:val="001F1968"/>
    <w:rsid w:val="001F1AB6"/>
    <w:rsid w:val="001F1BB6"/>
    <w:rsid w:val="001F2354"/>
    <w:rsid w:val="001F25FC"/>
    <w:rsid w:val="001F2E5B"/>
    <w:rsid w:val="001F3125"/>
    <w:rsid w:val="001F3668"/>
    <w:rsid w:val="001F3B9A"/>
    <w:rsid w:val="001F3D1E"/>
    <w:rsid w:val="001F43AE"/>
    <w:rsid w:val="001F488D"/>
    <w:rsid w:val="001F4E44"/>
    <w:rsid w:val="001F5147"/>
    <w:rsid w:val="001F5A10"/>
    <w:rsid w:val="001F66A7"/>
    <w:rsid w:val="001F67A2"/>
    <w:rsid w:val="001F7025"/>
    <w:rsid w:val="001F7159"/>
    <w:rsid w:val="001F71DC"/>
    <w:rsid w:val="001F7309"/>
    <w:rsid w:val="001F742E"/>
    <w:rsid w:val="001F795A"/>
    <w:rsid w:val="00200036"/>
    <w:rsid w:val="00200099"/>
    <w:rsid w:val="002005A3"/>
    <w:rsid w:val="002005AD"/>
    <w:rsid w:val="002006B9"/>
    <w:rsid w:val="0020110D"/>
    <w:rsid w:val="00201159"/>
    <w:rsid w:val="002018EA"/>
    <w:rsid w:val="00201941"/>
    <w:rsid w:val="0020195F"/>
    <w:rsid w:val="002019BE"/>
    <w:rsid w:val="002019FF"/>
    <w:rsid w:val="00201C51"/>
    <w:rsid w:val="00201CD8"/>
    <w:rsid w:val="0020227E"/>
    <w:rsid w:val="00203326"/>
    <w:rsid w:val="00203672"/>
    <w:rsid w:val="002043B3"/>
    <w:rsid w:val="00204580"/>
    <w:rsid w:val="002049C5"/>
    <w:rsid w:val="00205055"/>
    <w:rsid w:val="00205BCA"/>
    <w:rsid w:val="0020607F"/>
    <w:rsid w:val="00206722"/>
    <w:rsid w:val="00206BA3"/>
    <w:rsid w:val="00206DBE"/>
    <w:rsid w:val="0020712A"/>
    <w:rsid w:val="002072B5"/>
    <w:rsid w:val="00210490"/>
    <w:rsid w:val="00210ABD"/>
    <w:rsid w:val="00210CD5"/>
    <w:rsid w:val="00211AE8"/>
    <w:rsid w:val="0021268B"/>
    <w:rsid w:val="002131CF"/>
    <w:rsid w:val="002131FE"/>
    <w:rsid w:val="00213435"/>
    <w:rsid w:val="00213F42"/>
    <w:rsid w:val="0021423B"/>
    <w:rsid w:val="002147BD"/>
    <w:rsid w:val="00214947"/>
    <w:rsid w:val="00215937"/>
    <w:rsid w:val="002159F6"/>
    <w:rsid w:val="00216846"/>
    <w:rsid w:val="0021699A"/>
    <w:rsid w:val="00216CDE"/>
    <w:rsid w:val="00216D1A"/>
    <w:rsid w:val="00216FC2"/>
    <w:rsid w:val="002171B6"/>
    <w:rsid w:val="0021724C"/>
    <w:rsid w:val="002174ED"/>
    <w:rsid w:val="00217A54"/>
    <w:rsid w:val="00217D1E"/>
    <w:rsid w:val="00220281"/>
    <w:rsid w:val="0022065E"/>
    <w:rsid w:val="00220900"/>
    <w:rsid w:val="00222047"/>
    <w:rsid w:val="00222182"/>
    <w:rsid w:val="00222586"/>
    <w:rsid w:val="00222AA5"/>
    <w:rsid w:val="0022319A"/>
    <w:rsid w:val="002240B7"/>
    <w:rsid w:val="00224D47"/>
    <w:rsid w:val="00225339"/>
    <w:rsid w:val="00225A9A"/>
    <w:rsid w:val="00225C31"/>
    <w:rsid w:val="002272A3"/>
    <w:rsid w:val="00230328"/>
    <w:rsid w:val="002303FC"/>
    <w:rsid w:val="0023095F"/>
    <w:rsid w:val="00230F64"/>
    <w:rsid w:val="00230F8E"/>
    <w:rsid w:val="002316AF"/>
    <w:rsid w:val="0023226A"/>
    <w:rsid w:val="00232937"/>
    <w:rsid w:val="00233216"/>
    <w:rsid w:val="0023357F"/>
    <w:rsid w:val="002338A1"/>
    <w:rsid w:val="002338DE"/>
    <w:rsid w:val="00234118"/>
    <w:rsid w:val="00234332"/>
    <w:rsid w:val="0023437E"/>
    <w:rsid w:val="00235297"/>
    <w:rsid w:val="002352FA"/>
    <w:rsid w:val="0023542F"/>
    <w:rsid w:val="00235A61"/>
    <w:rsid w:val="00235C4F"/>
    <w:rsid w:val="00236A70"/>
    <w:rsid w:val="0023749B"/>
    <w:rsid w:val="002375A0"/>
    <w:rsid w:val="00237978"/>
    <w:rsid w:val="002400B8"/>
    <w:rsid w:val="00240382"/>
    <w:rsid w:val="00240BCF"/>
    <w:rsid w:val="002410AF"/>
    <w:rsid w:val="00241428"/>
    <w:rsid w:val="00241496"/>
    <w:rsid w:val="002415CC"/>
    <w:rsid w:val="00241721"/>
    <w:rsid w:val="00241AC2"/>
    <w:rsid w:val="00241DF5"/>
    <w:rsid w:val="00242D1F"/>
    <w:rsid w:val="00242F33"/>
    <w:rsid w:val="00243641"/>
    <w:rsid w:val="00243DA8"/>
    <w:rsid w:val="0024408C"/>
    <w:rsid w:val="002440D9"/>
    <w:rsid w:val="00244A1B"/>
    <w:rsid w:val="002451BB"/>
    <w:rsid w:val="002453DC"/>
    <w:rsid w:val="002455E0"/>
    <w:rsid w:val="002457E2"/>
    <w:rsid w:val="00245D53"/>
    <w:rsid w:val="00245F2A"/>
    <w:rsid w:val="00246818"/>
    <w:rsid w:val="00246F23"/>
    <w:rsid w:val="002470D4"/>
    <w:rsid w:val="002471A8"/>
    <w:rsid w:val="00250228"/>
    <w:rsid w:val="002505AC"/>
    <w:rsid w:val="002509DF"/>
    <w:rsid w:val="00250EA9"/>
    <w:rsid w:val="00250FD6"/>
    <w:rsid w:val="0025123E"/>
    <w:rsid w:val="0025138D"/>
    <w:rsid w:val="0025146C"/>
    <w:rsid w:val="00251A72"/>
    <w:rsid w:val="00251F21"/>
    <w:rsid w:val="00252321"/>
    <w:rsid w:val="00252357"/>
    <w:rsid w:val="00252883"/>
    <w:rsid w:val="002528E3"/>
    <w:rsid w:val="00252AFC"/>
    <w:rsid w:val="00252B1C"/>
    <w:rsid w:val="00253322"/>
    <w:rsid w:val="00253436"/>
    <w:rsid w:val="00253456"/>
    <w:rsid w:val="00253C9B"/>
    <w:rsid w:val="00253CD8"/>
    <w:rsid w:val="0025508B"/>
    <w:rsid w:val="002551BA"/>
    <w:rsid w:val="00255FBE"/>
    <w:rsid w:val="002566E6"/>
    <w:rsid w:val="002569AC"/>
    <w:rsid w:val="002575D9"/>
    <w:rsid w:val="00260DF8"/>
    <w:rsid w:val="0026147D"/>
    <w:rsid w:val="00261640"/>
    <w:rsid w:val="00261B47"/>
    <w:rsid w:val="00261BEE"/>
    <w:rsid w:val="00261DEB"/>
    <w:rsid w:val="002628E1"/>
    <w:rsid w:val="00262E84"/>
    <w:rsid w:val="002630A4"/>
    <w:rsid w:val="002634CC"/>
    <w:rsid w:val="00263E10"/>
    <w:rsid w:val="00263E7C"/>
    <w:rsid w:val="00264074"/>
    <w:rsid w:val="002645AE"/>
    <w:rsid w:val="00264727"/>
    <w:rsid w:val="002647BF"/>
    <w:rsid w:val="00264A75"/>
    <w:rsid w:val="00264DDD"/>
    <w:rsid w:val="00264E6D"/>
    <w:rsid w:val="00266132"/>
    <w:rsid w:val="0026632E"/>
    <w:rsid w:val="002663D9"/>
    <w:rsid w:val="00266606"/>
    <w:rsid w:val="002666B9"/>
    <w:rsid w:val="00267193"/>
    <w:rsid w:val="00267786"/>
    <w:rsid w:val="00267974"/>
    <w:rsid w:val="0026799E"/>
    <w:rsid w:val="002700BC"/>
    <w:rsid w:val="002706F9"/>
    <w:rsid w:val="002710C2"/>
    <w:rsid w:val="00271377"/>
    <w:rsid w:val="00271558"/>
    <w:rsid w:val="00271ADE"/>
    <w:rsid w:val="00272ED5"/>
    <w:rsid w:val="00272F45"/>
    <w:rsid w:val="00273108"/>
    <w:rsid w:val="002736D5"/>
    <w:rsid w:val="0027445C"/>
    <w:rsid w:val="0027513B"/>
    <w:rsid w:val="00275731"/>
    <w:rsid w:val="00275E3C"/>
    <w:rsid w:val="002760BC"/>
    <w:rsid w:val="0027627E"/>
    <w:rsid w:val="00276BE8"/>
    <w:rsid w:val="00276CEB"/>
    <w:rsid w:val="0027790A"/>
    <w:rsid w:val="0028022D"/>
    <w:rsid w:val="002808AA"/>
    <w:rsid w:val="002809B2"/>
    <w:rsid w:val="00280D80"/>
    <w:rsid w:val="002813A3"/>
    <w:rsid w:val="002813C1"/>
    <w:rsid w:val="0028215F"/>
    <w:rsid w:val="00282253"/>
    <w:rsid w:val="002824AC"/>
    <w:rsid w:val="0028273D"/>
    <w:rsid w:val="0028289F"/>
    <w:rsid w:val="0028329E"/>
    <w:rsid w:val="0028395D"/>
    <w:rsid w:val="0028426F"/>
    <w:rsid w:val="00284EDF"/>
    <w:rsid w:val="00284EEB"/>
    <w:rsid w:val="0028513C"/>
    <w:rsid w:val="002851AE"/>
    <w:rsid w:val="00286016"/>
    <w:rsid w:val="002860D8"/>
    <w:rsid w:val="002863BF"/>
    <w:rsid w:val="00286939"/>
    <w:rsid w:val="00286B2D"/>
    <w:rsid w:val="00286D97"/>
    <w:rsid w:val="0028717E"/>
    <w:rsid w:val="00287315"/>
    <w:rsid w:val="0029071C"/>
    <w:rsid w:val="0029099A"/>
    <w:rsid w:val="0029111B"/>
    <w:rsid w:val="00291993"/>
    <w:rsid w:val="00292383"/>
    <w:rsid w:val="00292BAC"/>
    <w:rsid w:val="00292CFB"/>
    <w:rsid w:val="00293196"/>
    <w:rsid w:val="002939FA"/>
    <w:rsid w:val="002948C9"/>
    <w:rsid w:val="00294990"/>
    <w:rsid w:val="00294A65"/>
    <w:rsid w:val="00294F15"/>
    <w:rsid w:val="00295600"/>
    <w:rsid w:val="002968B3"/>
    <w:rsid w:val="002968F0"/>
    <w:rsid w:val="00296DF9"/>
    <w:rsid w:val="00296E13"/>
    <w:rsid w:val="00296FB9"/>
    <w:rsid w:val="00297B84"/>
    <w:rsid w:val="00297EA1"/>
    <w:rsid w:val="002A01D5"/>
    <w:rsid w:val="002A052B"/>
    <w:rsid w:val="002A0610"/>
    <w:rsid w:val="002A06CC"/>
    <w:rsid w:val="002A0AB8"/>
    <w:rsid w:val="002A0E66"/>
    <w:rsid w:val="002A26FE"/>
    <w:rsid w:val="002A3AA8"/>
    <w:rsid w:val="002A5BBD"/>
    <w:rsid w:val="002A60BD"/>
    <w:rsid w:val="002A6112"/>
    <w:rsid w:val="002A6968"/>
    <w:rsid w:val="002A6C69"/>
    <w:rsid w:val="002B07C9"/>
    <w:rsid w:val="002B0811"/>
    <w:rsid w:val="002B0AEE"/>
    <w:rsid w:val="002B209D"/>
    <w:rsid w:val="002B2273"/>
    <w:rsid w:val="002B2594"/>
    <w:rsid w:val="002B2AFD"/>
    <w:rsid w:val="002B2B84"/>
    <w:rsid w:val="002B2D17"/>
    <w:rsid w:val="002B4EDF"/>
    <w:rsid w:val="002B4F4E"/>
    <w:rsid w:val="002B5BDD"/>
    <w:rsid w:val="002B5C31"/>
    <w:rsid w:val="002B5F1D"/>
    <w:rsid w:val="002B6246"/>
    <w:rsid w:val="002B6254"/>
    <w:rsid w:val="002B650E"/>
    <w:rsid w:val="002B69F7"/>
    <w:rsid w:val="002B6CF8"/>
    <w:rsid w:val="002B716A"/>
    <w:rsid w:val="002B762F"/>
    <w:rsid w:val="002B7857"/>
    <w:rsid w:val="002B7931"/>
    <w:rsid w:val="002B7AC2"/>
    <w:rsid w:val="002C0250"/>
    <w:rsid w:val="002C0AB6"/>
    <w:rsid w:val="002C0E86"/>
    <w:rsid w:val="002C0FC5"/>
    <w:rsid w:val="002C1DC7"/>
    <w:rsid w:val="002C2027"/>
    <w:rsid w:val="002C2A89"/>
    <w:rsid w:val="002C33C1"/>
    <w:rsid w:val="002C3498"/>
    <w:rsid w:val="002C354E"/>
    <w:rsid w:val="002C3671"/>
    <w:rsid w:val="002C3755"/>
    <w:rsid w:val="002C4AFB"/>
    <w:rsid w:val="002C53CC"/>
    <w:rsid w:val="002C54CB"/>
    <w:rsid w:val="002C5875"/>
    <w:rsid w:val="002C5A51"/>
    <w:rsid w:val="002C64A2"/>
    <w:rsid w:val="002C66E8"/>
    <w:rsid w:val="002C76BD"/>
    <w:rsid w:val="002C7FB8"/>
    <w:rsid w:val="002D02BD"/>
    <w:rsid w:val="002D03CF"/>
    <w:rsid w:val="002D05A5"/>
    <w:rsid w:val="002D0BE6"/>
    <w:rsid w:val="002D1182"/>
    <w:rsid w:val="002D1469"/>
    <w:rsid w:val="002D1632"/>
    <w:rsid w:val="002D1930"/>
    <w:rsid w:val="002D1DB8"/>
    <w:rsid w:val="002D1E9B"/>
    <w:rsid w:val="002D277A"/>
    <w:rsid w:val="002D32C9"/>
    <w:rsid w:val="002D3612"/>
    <w:rsid w:val="002D4191"/>
    <w:rsid w:val="002D4A52"/>
    <w:rsid w:val="002D4A5A"/>
    <w:rsid w:val="002D4AEA"/>
    <w:rsid w:val="002D5151"/>
    <w:rsid w:val="002D5DEA"/>
    <w:rsid w:val="002D5E21"/>
    <w:rsid w:val="002D72BD"/>
    <w:rsid w:val="002D7A60"/>
    <w:rsid w:val="002D7AF6"/>
    <w:rsid w:val="002E0416"/>
    <w:rsid w:val="002E0465"/>
    <w:rsid w:val="002E057D"/>
    <w:rsid w:val="002E0A4A"/>
    <w:rsid w:val="002E1015"/>
    <w:rsid w:val="002E109C"/>
    <w:rsid w:val="002E1903"/>
    <w:rsid w:val="002E19AD"/>
    <w:rsid w:val="002E1E22"/>
    <w:rsid w:val="002E2176"/>
    <w:rsid w:val="002E2221"/>
    <w:rsid w:val="002E2298"/>
    <w:rsid w:val="002E2437"/>
    <w:rsid w:val="002E2464"/>
    <w:rsid w:val="002E30D7"/>
    <w:rsid w:val="002E350E"/>
    <w:rsid w:val="002E3916"/>
    <w:rsid w:val="002E3C2D"/>
    <w:rsid w:val="002E3F7A"/>
    <w:rsid w:val="002E4264"/>
    <w:rsid w:val="002E46A5"/>
    <w:rsid w:val="002E48EE"/>
    <w:rsid w:val="002E5775"/>
    <w:rsid w:val="002E5F7F"/>
    <w:rsid w:val="002E652B"/>
    <w:rsid w:val="002E7051"/>
    <w:rsid w:val="002E7729"/>
    <w:rsid w:val="002E7740"/>
    <w:rsid w:val="002E7C22"/>
    <w:rsid w:val="002F0480"/>
    <w:rsid w:val="002F07A8"/>
    <w:rsid w:val="002F1057"/>
    <w:rsid w:val="002F1822"/>
    <w:rsid w:val="002F1A09"/>
    <w:rsid w:val="002F2FB3"/>
    <w:rsid w:val="002F305C"/>
    <w:rsid w:val="002F347E"/>
    <w:rsid w:val="002F3C77"/>
    <w:rsid w:val="002F3D03"/>
    <w:rsid w:val="002F4F4A"/>
    <w:rsid w:val="002F5792"/>
    <w:rsid w:val="002F618C"/>
    <w:rsid w:val="002F6611"/>
    <w:rsid w:val="002F681E"/>
    <w:rsid w:val="002F6936"/>
    <w:rsid w:val="002F6BD4"/>
    <w:rsid w:val="002F6E28"/>
    <w:rsid w:val="002F7F6F"/>
    <w:rsid w:val="003000C2"/>
    <w:rsid w:val="003001FC"/>
    <w:rsid w:val="003007BE"/>
    <w:rsid w:val="003009C9"/>
    <w:rsid w:val="00300A50"/>
    <w:rsid w:val="00300F2D"/>
    <w:rsid w:val="00301F9F"/>
    <w:rsid w:val="00302462"/>
    <w:rsid w:val="00302603"/>
    <w:rsid w:val="00302799"/>
    <w:rsid w:val="00302EF9"/>
    <w:rsid w:val="00303787"/>
    <w:rsid w:val="00303B1F"/>
    <w:rsid w:val="00304483"/>
    <w:rsid w:val="003044D2"/>
    <w:rsid w:val="00304996"/>
    <w:rsid w:val="00304B36"/>
    <w:rsid w:val="00304DA3"/>
    <w:rsid w:val="00305645"/>
    <w:rsid w:val="00305FA4"/>
    <w:rsid w:val="0030676A"/>
    <w:rsid w:val="00306802"/>
    <w:rsid w:val="00307581"/>
    <w:rsid w:val="0030772A"/>
    <w:rsid w:val="00307D21"/>
    <w:rsid w:val="00310612"/>
    <w:rsid w:val="0031062A"/>
    <w:rsid w:val="003109BC"/>
    <w:rsid w:val="00310F0E"/>
    <w:rsid w:val="00311363"/>
    <w:rsid w:val="0031152E"/>
    <w:rsid w:val="00311D47"/>
    <w:rsid w:val="00311ED5"/>
    <w:rsid w:val="00312188"/>
    <w:rsid w:val="00312585"/>
    <w:rsid w:val="003126A5"/>
    <w:rsid w:val="00313249"/>
    <w:rsid w:val="00313EDC"/>
    <w:rsid w:val="00314383"/>
    <w:rsid w:val="003143B8"/>
    <w:rsid w:val="00314AB0"/>
    <w:rsid w:val="003158EF"/>
    <w:rsid w:val="00316717"/>
    <w:rsid w:val="0031721F"/>
    <w:rsid w:val="00317A17"/>
    <w:rsid w:val="00320840"/>
    <w:rsid w:val="00320DA0"/>
    <w:rsid w:val="0032156A"/>
    <w:rsid w:val="0032176C"/>
    <w:rsid w:val="00321B3B"/>
    <w:rsid w:val="0032216F"/>
    <w:rsid w:val="0032255F"/>
    <w:rsid w:val="003227AE"/>
    <w:rsid w:val="00323314"/>
    <w:rsid w:val="00323933"/>
    <w:rsid w:val="00323E4D"/>
    <w:rsid w:val="003241D8"/>
    <w:rsid w:val="00324705"/>
    <w:rsid w:val="00324F52"/>
    <w:rsid w:val="00324F54"/>
    <w:rsid w:val="0032588B"/>
    <w:rsid w:val="0032598F"/>
    <w:rsid w:val="00325C52"/>
    <w:rsid w:val="00325EC5"/>
    <w:rsid w:val="00326351"/>
    <w:rsid w:val="00327EE2"/>
    <w:rsid w:val="00327FA6"/>
    <w:rsid w:val="00330C82"/>
    <w:rsid w:val="003311EF"/>
    <w:rsid w:val="0033184E"/>
    <w:rsid w:val="003319E8"/>
    <w:rsid w:val="00331A35"/>
    <w:rsid w:val="00331C19"/>
    <w:rsid w:val="00331C73"/>
    <w:rsid w:val="00332771"/>
    <w:rsid w:val="00332B04"/>
    <w:rsid w:val="00332E4E"/>
    <w:rsid w:val="00333574"/>
    <w:rsid w:val="00333809"/>
    <w:rsid w:val="00333816"/>
    <w:rsid w:val="003338F1"/>
    <w:rsid w:val="00333A07"/>
    <w:rsid w:val="00333F4D"/>
    <w:rsid w:val="0033522F"/>
    <w:rsid w:val="003359FE"/>
    <w:rsid w:val="00335AE0"/>
    <w:rsid w:val="00335BDB"/>
    <w:rsid w:val="00336927"/>
    <w:rsid w:val="00336EDF"/>
    <w:rsid w:val="00337496"/>
    <w:rsid w:val="003375C1"/>
    <w:rsid w:val="0034043A"/>
    <w:rsid w:val="00340BFE"/>
    <w:rsid w:val="00340E13"/>
    <w:rsid w:val="00341058"/>
    <w:rsid w:val="00342CC7"/>
    <w:rsid w:val="0034386E"/>
    <w:rsid w:val="00343934"/>
    <w:rsid w:val="00343A1D"/>
    <w:rsid w:val="00343A8A"/>
    <w:rsid w:val="00343F0F"/>
    <w:rsid w:val="00344278"/>
    <w:rsid w:val="003442AD"/>
    <w:rsid w:val="00344C7C"/>
    <w:rsid w:val="003455A3"/>
    <w:rsid w:val="003465C8"/>
    <w:rsid w:val="003466CC"/>
    <w:rsid w:val="00346705"/>
    <w:rsid w:val="00347243"/>
    <w:rsid w:val="00347377"/>
    <w:rsid w:val="0034753C"/>
    <w:rsid w:val="003500A5"/>
    <w:rsid w:val="00350667"/>
    <w:rsid w:val="0035070F"/>
    <w:rsid w:val="00351EDC"/>
    <w:rsid w:val="00352045"/>
    <w:rsid w:val="00352071"/>
    <w:rsid w:val="00352C6C"/>
    <w:rsid w:val="00353B7E"/>
    <w:rsid w:val="00353F26"/>
    <w:rsid w:val="003541D8"/>
    <w:rsid w:val="00354481"/>
    <w:rsid w:val="0035458C"/>
    <w:rsid w:val="00354782"/>
    <w:rsid w:val="00355113"/>
    <w:rsid w:val="00355234"/>
    <w:rsid w:val="003554AC"/>
    <w:rsid w:val="00355C36"/>
    <w:rsid w:val="00356F7F"/>
    <w:rsid w:val="00357B90"/>
    <w:rsid w:val="00357F5B"/>
    <w:rsid w:val="003602DE"/>
    <w:rsid w:val="003605B6"/>
    <w:rsid w:val="00361010"/>
    <w:rsid w:val="003612E9"/>
    <w:rsid w:val="0036217B"/>
    <w:rsid w:val="00362350"/>
    <w:rsid w:val="00362357"/>
    <w:rsid w:val="00362475"/>
    <w:rsid w:val="003624FC"/>
    <w:rsid w:val="003634DA"/>
    <w:rsid w:val="0036359B"/>
    <w:rsid w:val="00363B4C"/>
    <w:rsid w:val="00364296"/>
    <w:rsid w:val="00364844"/>
    <w:rsid w:val="00364B13"/>
    <w:rsid w:val="0036526D"/>
    <w:rsid w:val="00365DDD"/>
    <w:rsid w:val="00365DF5"/>
    <w:rsid w:val="00366C94"/>
    <w:rsid w:val="00366E5D"/>
    <w:rsid w:val="00366F3F"/>
    <w:rsid w:val="00367005"/>
    <w:rsid w:val="00367118"/>
    <w:rsid w:val="003673A2"/>
    <w:rsid w:val="00370528"/>
    <w:rsid w:val="00370859"/>
    <w:rsid w:val="0037183F"/>
    <w:rsid w:val="00371944"/>
    <w:rsid w:val="00371AEC"/>
    <w:rsid w:val="0037237D"/>
    <w:rsid w:val="00372693"/>
    <w:rsid w:val="003733A3"/>
    <w:rsid w:val="003743AA"/>
    <w:rsid w:val="00374654"/>
    <w:rsid w:val="00374C59"/>
    <w:rsid w:val="003754BA"/>
    <w:rsid w:val="00375624"/>
    <w:rsid w:val="003759A1"/>
    <w:rsid w:val="00375BE9"/>
    <w:rsid w:val="00375D21"/>
    <w:rsid w:val="00375EF5"/>
    <w:rsid w:val="003761C4"/>
    <w:rsid w:val="0037674D"/>
    <w:rsid w:val="00376852"/>
    <w:rsid w:val="00376EE6"/>
    <w:rsid w:val="00377705"/>
    <w:rsid w:val="00377A1F"/>
    <w:rsid w:val="0038019E"/>
    <w:rsid w:val="00380981"/>
    <w:rsid w:val="003813F7"/>
    <w:rsid w:val="00381684"/>
    <w:rsid w:val="00382989"/>
    <w:rsid w:val="00382B21"/>
    <w:rsid w:val="00382B46"/>
    <w:rsid w:val="003830D3"/>
    <w:rsid w:val="003831D5"/>
    <w:rsid w:val="00383208"/>
    <w:rsid w:val="003838A1"/>
    <w:rsid w:val="00383E04"/>
    <w:rsid w:val="003851C7"/>
    <w:rsid w:val="00385368"/>
    <w:rsid w:val="0038658E"/>
    <w:rsid w:val="00386BFA"/>
    <w:rsid w:val="00386DDA"/>
    <w:rsid w:val="00387A2B"/>
    <w:rsid w:val="00390300"/>
    <w:rsid w:val="00390510"/>
    <w:rsid w:val="0039062D"/>
    <w:rsid w:val="00390BB4"/>
    <w:rsid w:val="003911A5"/>
    <w:rsid w:val="003920EF"/>
    <w:rsid w:val="00392346"/>
    <w:rsid w:val="003929E6"/>
    <w:rsid w:val="00392BBE"/>
    <w:rsid w:val="00393787"/>
    <w:rsid w:val="00393D7D"/>
    <w:rsid w:val="00393F94"/>
    <w:rsid w:val="00394899"/>
    <w:rsid w:val="0039545B"/>
    <w:rsid w:val="00395462"/>
    <w:rsid w:val="00395898"/>
    <w:rsid w:val="00395AB7"/>
    <w:rsid w:val="00395C0B"/>
    <w:rsid w:val="0039614C"/>
    <w:rsid w:val="00396168"/>
    <w:rsid w:val="00396614"/>
    <w:rsid w:val="00396E32"/>
    <w:rsid w:val="00396F2A"/>
    <w:rsid w:val="00397206"/>
    <w:rsid w:val="00397230"/>
    <w:rsid w:val="00397A1D"/>
    <w:rsid w:val="00397CEC"/>
    <w:rsid w:val="00397F09"/>
    <w:rsid w:val="003A02BE"/>
    <w:rsid w:val="003A0357"/>
    <w:rsid w:val="003A08F6"/>
    <w:rsid w:val="003A140D"/>
    <w:rsid w:val="003A14EF"/>
    <w:rsid w:val="003A17BD"/>
    <w:rsid w:val="003A19AB"/>
    <w:rsid w:val="003A1DF7"/>
    <w:rsid w:val="003A2A84"/>
    <w:rsid w:val="003A2B85"/>
    <w:rsid w:val="003A2C48"/>
    <w:rsid w:val="003A3942"/>
    <w:rsid w:val="003A3AEC"/>
    <w:rsid w:val="003A41E2"/>
    <w:rsid w:val="003A467D"/>
    <w:rsid w:val="003A4763"/>
    <w:rsid w:val="003A57D6"/>
    <w:rsid w:val="003A5918"/>
    <w:rsid w:val="003A63A8"/>
    <w:rsid w:val="003A6C1D"/>
    <w:rsid w:val="003A75FE"/>
    <w:rsid w:val="003A78F3"/>
    <w:rsid w:val="003B0400"/>
    <w:rsid w:val="003B157E"/>
    <w:rsid w:val="003B20FE"/>
    <w:rsid w:val="003B2441"/>
    <w:rsid w:val="003B25FA"/>
    <w:rsid w:val="003B2B5C"/>
    <w:rsid w:val="003B2F87"/>
    <w:rsid w:val="003B3287"/>
    <w:rsid w:val="003B3973"/>
    <w:rsid w:val="003B3BE5"/>
    <w:rsid w:val="003B4217"/>
    <w:rsid w:val="003B4D0B"/>
    <w:rsid w:val="003B53AC"/>
    <w:rsid w:val="003B560F"/>
    <w:rsid w:val="003B6399"/>
    <w:rsid w:val="003B671B"/>
    <w:rsid w:val="003B740C"/>
    <w:rsid w:val="003B79DC"/>
    <w:rsid w:val="003C0D6A"/>
    <w:rsid w:val="003C0D7B"/>
    <w:rsid w:val="003C0FB9"/>
    <w:rsid w:val="003C168C"/>
    <w:rsid w:val="003C209A"/>
    <w:rsid w:val="003C20E0"/>
    <w:rsid w:val="003C2DD3"/>
    <w:rsid w:val="003C303F"/>
    <w:rsid w:val="003C338B"/>
    <w:rsid w:val="003C37F1"/>
    <w:rsid w:val="003C3951"/>
    <w:rsid w:val="003C3E6F"/>
    <w:rsid w:val="003C4117"/>
    <w:rsid w:val="003C468B"/>
    <w:rsid w:val="003C4D70"/>
    <w:rsid w:val="003C51D3"/>
    <w:rsid w:val="003C5975"/>
    <w:rsid w:val="003C5B61"/>
    <w:rsid w:val="003C62F4"/>
    <w:rsid w:val="003C64FF"/>
    <w:rsid w:val="003C773C"/>
    <w:rsid w:val="003C7A27"/>
    <w:rsid w:val="003D050C"/>
    <w:rsid w:val="003D0804"/>
    <w:rsid w:val="003D0F79"/>
    <w:rsid w:val="003D0F82"/>
    <w:rsid w:val="003D0FCA"/>
    <w:rsid w:val="003D1490"/>
    <w:rsid w:val="003D155B"/>
    <w:rsid w:val="003D1BE4"/>
    <w:rsid w:val="003D1F3C"/>
    <w:rsid w:val="003D234D"/>
    <w:rsid w:val="003D28F5"/>
    <w:rsid w:val="003D2ABD"/>
    <w:rsid w:val="003D2D1B"/>
    <w:rsid w:val="003D325F"/>
    <w:rsid w:val="003D3511"/>
    <w:rsid w:val="003D403A"/>
    <w:rsid w:val="003D413C"/>
    <w:rsid w:val="003D4319"/>
    <w:rsid w:val="003D4587"/>
    <w:rsid w:val="003D48A2"/>
    <w:rsid w:val="003D5A8D"/>
    <w:rsid w:val="003D5F76"/>
    <w:rsid w:val="003D65BF"/>
    <w:rsid w:val="003D6732"/>
    <w:rsid w:val="003D6D91"/>
    <w:rsid w:val="003D7250"/>
    <w:rsid w:val="003D76EE"/>
    <w:rsid w:val="003D7B4C"/>
    <w:rsid w:val="003E0381"/>
    <w:rsid w:val="003E0CA9"/>
    <w:rsid w:val="003E0E2C"/>
    <w:rsid w:val="003E164A"/>
    <w:rsid w:val="003E1A9F"/>
    <w:rsid w:val="003E1EE8"/>
    <w:rsid w:val="003E2AD9"/>
    <w:rsid w:val="003E2DB7"/>
    <w:rsid w:val="003E3101"/>
    <w:rsid w:val="003E32DE"/>
    <w:rsid w:val="003E3472"/>
    <w:rsid w:val="003E3E25"/>
    <w:rsid w:val="003E476E"/>
    <w:rsid w:val="003E49B2"/>
    <w:rsid w:val="003E4C9D"/>
    <w:rsid w:val="003E5859"/>
    <w:rsid w:val="003E65B3"/>
    <w:rsid w:val="003E676B"/>
    <w:rsid w:val="003E68AD"/>
    <w:rsid w:val="003E68AE"/>
    <w:rsid w:val="003E69D1"/>
    <w:rsid w:val="003E6A0B"/>
    <w:rsid w:val="003E788D"/>
    <w:rsid w:val="003E7939"/>
    <w:rsid w:val="003F0A79"/>
    <w:rsid w:val="003F1084"/>
    <w:rsid w:val="003F1414"/>
    <w:rsid w:val="003F1653"/>
    <w:rsid w:val="003F2171"/>
    <w:rsid w:val="003F23E7"/>
    <w:rsid w:val="003F27C8"/>
    <w:rsid w:val="003F28D0"/>
    <w:rsid w:val="003F2ABD"/>
    <w:rsid w:val="003F33E4"/>
    <w:rsid w:val="003F35BF"/>
    <w:rsid w:val="003F400E"/>
    <w:rsid w:val="003F40EE"/>
    <w:rsid w:val="003F4638"/>
    <w:rsid w:val="003F46D5"/>
    <w:rsid w:val="003F5196"/>
    <w:rsid w:val="003F57B2"/>
    <w:rsid w:val="003F5841"/>
    <w:rsid w:val="003F5885"/>
    <w:rsid w:val="003F58C5"/>
    <w:rsid w:val="003F5B5D"/>
    <w:rsid w:val="003F5C24"/>
    <w:rsid w:val="003F66D7"/>
    <w:rsid w:val="003F6C74"/>
    <w:rsid w:val="004007E5"/>
    <w:rsid w:val="0040274D"/>
    <w:rsid w:val="0040363B"/>
    <w:rsid w:val="0040414E"/>
    <w:rsid w:val="004045E7"/>
    <w:rsid w:val="00404BAB"/>
    <w:rsid w:val="00404F5A"/>
    <w:rsid w:val="004052A0"/>
    <w:rsid w:val="004056FD"/>
    <w:rsid w:val="00405C8E"/>
    <w:rsid w:val="00406104"/>
    <w:rsid w:val="0040617B"/>
    <w:rsid w:val="00406A74"/>
    <w:rsid w:val="0040700A"/>
    <w:rsid w:val="004075D9"/>
    <w:rsid w:val="00407755"/>
    <w:rsid w:val="004077AD"/>
    <w:rsid w:val="00407A1A"/>
    <w:rsid w:val="0041001E"/>
    <w:rsid w:val="00410667"/>
    <w:rsid w:val="004108BE"/>
    <w:rsid w:val="00410A50"/>
    <w:rsid w:val="00410DF4"/>
    <w:rsid w:val="00410F6A"/>
    <w:rsid w:val="004124EB"/>
    <w:rsid w:val="0041280E"/>
    <w:rsid w:val="0041288C"/>
    <w:rsid w:val="004133BB"/>
    <w:rsid w:val="00414C97"/>
    <w:rsid w:val="004154AF"/>
    <w:rsid w:val="004157B9"/>
    <w:rsid w:val="00415CAA"/>
    <w:rsid w:val="00416235"/>
    <w:rsid w:val="004162C4"/>
    <w:rsid w:val="0041677B"/>
    <w:rsid w:val="00416C7D"/>
    <w:rsid w:val="00416DC0"/>
    <w:rsid w:val="00417111"/>
    <w:rsid w:val="00417996"/>
    <w:rsid w:val="00417DA6"/>
    <w:rsid w:val="0042015D"/>
    <w:rsid w:val="00420177"/>
    <w:rsid w:val="00420A63"/>
    <w:rsid w:val="004211BD"/>
    <w:rsid w:val="00421AD9"/>
    <w:rsid w:val="00422853"/>
    <w:rsid w:val="00422DD8"/>
    <w:rsid w:val="004234D4"/>
    <w:rsid w:val="00424BD7"/>
    <w:rsid w:val="00424DF0"/>
    <w:rsid w:val="0042558D"/>
    <w:rsid w:val="0042579B"/>
    <w:rsid w:val="00425C8B"/>
    <w:rsid w:val="00425F4B"/>
    <w:rsid w:val="00425F77"/>
    <w:rsid w:val="004273D9"/>
    <w:rsid w:val="00427475"/>
    <w:rsid w:val="004279D0"/>
    <w:rsid w:val="0043002D"/>
    <w:rsid w:val="00430964"/>
    <w:rsid w:val="00430BA3"/>
    <w:rsid w:val="0043129A"/>
    <w:rsid w:val="00431A01"/>
    <w:rsid w:val="00431B05"/>
    <w:rsid w:val="0043246F"/>
    <w:rsid w:val="0043288B"/>
    <w:rsid w:val="00432D8D"/>
    <w:rsid w:val="00432E87"/>
    <w:rsid w:val="00433001"/>
    <w:rsid w:val="00433182"/>
    <w:rsid w:val="00433722"/>
    <w:rsid w:val="00434E60"/>
    <w:rsid w:val="00435292"/>
    <w:rsid w:val="0043576E"/>
    <w:rsid w:val="00435F33"/>
    <w:rsid w:val="00436102"/>
    <w:rsid w:val="00436454"/>
    <w:rsid w:val="00436764"/>
    <w:rsid w:val="0043680B"/>
    <w:rsid w:val="00436F10"/>
    <w:rsid w:val="00436F48"/>
    <w:rsid w:val="004373C4"/>
    <w:rsid w:val="004373CD"/>
    <w:rsid w:val="00437623"/>
    <w:rsid w:val="00437689"/>
    <w:rsid w:val="00437CFD"/>
    <w:rsid w:val="00437FE6"/>
    <w:rsid w:val="0044019B"/>
    <w:rsid w:val="00440298"/>
    <w:rsid w:val="004408B9"/>
    <w:rsid w:val="004419E8"/>
    <w:rsid w:val="00441B77"/>
    <w:rsid w:val="00441BDC"/>
    <w:rsid w:val="00442A6C"/>
    <w:rsid w:val="00442D18"/>
    <w:rsid w:val="00442DAB"/>
    <w:rsid w:val="00443756"/>
    <w:rsid w:val="00443BD2"/>
    <w:rsid w:val="00443E20"/>
    <w:rsid w:val="00444039"/>
    <w:rsid w:val="00444411"/>
    <w:rsid w:val="00444437"/>
    <w:rsid w:val="004447FF"/>
    <w:rsid w:val="00444BDC"/>
    <w:rsid w:val="00445193"/>
    <w:rsid w:val="004451B4"/>
    <w:rsid w:val="00445208"/>
    <w:rsid w:val="004458B3"/>
    <w:rsid w:val="00446643"/>
    <w:rsid w:val="00447330"/>
    <w:rsid w:val="00450CCE"/>
    <w:rsid w:val="00450EC8"/>
    <w:rsid w:val="00451681"/>
    <w:rsid w:val="00451AF6"/>
    <w:rsid w:val="004522D4"/>
    <w:rsid w:val="0045361E"/>
    <w:rsid w:val="0045367B"/>
    <w:rsid w:val="00453A06"/>
    <w:rsid w:val="004544F8"/>
    <w:rsid w:val="00454793"/>
    <w:rsid w:val="0045490A"/>
    <w:rsid w:val="00454B88"/>
    <w:rsid w:val="00454D56"/>
    <w:rsid w:val="00454D9F"/>
    <w:rsid w:val="004550B7"/>
    <w:rsid w:val="004552FA"/>
    <w:rsid w:val="0045598B"/>
    <w:rsid w:val="00455AE9"/>
    <w:rsid w:val="00455B24"/>
    <w:rsid w:val="00455FE9"/>
    <w:rsid w:val="00456466"/>
    <w:rsid w:val="00456A81"/>
    <w:rsid w:val="00456AB1"/>
    <w:rsid w:val="00456E42"/>
    <w:rsid w:val="00457245"/>
    <w:rsid w:val="004577CB"/>
    <w:rsid w:val="00457B47"/>
    <w:rsid w:val="00457E5B"/>
    <w:rsid w:val="00457F7F"/>
    <w:rsid w:val="00460C05"/>
    <w:rsid w:val="00461431"/>
    <w:rsid w:val="00462865"/>
    <w:rsid w:val="0046297C"/>
    <w:rsid w:val="00462D58"/>
    <w:rsid w:val="00463382"/>
    <w:rsid w:val="00463E5D"/>
    <w:rsid w:val="00463F27"/>
    <w:rsid w:val="00464708"/>
    <w:rsid w:val="00464A19"/>
    <w:rsid w:val="00464AC9"/>
    <w:rsid w:val="00465656"/>
    <w:rsid w:val="00465802"/>
    <w:rsid w:val="00465C72"/>
    <w:rsid w:val="00465EC0"/>
    <w:rsid w:val="00465F3B"/>
    <w:rsid w:val="004666A5"/>
    <w:rsid w:val="00466884"/>
    <w:rsid w:val="00466F68"/>
    <w:rsid w:val="004671E6"/>
    <w:rsid w:val="00467B0A"/>
    <w:rsid w:val="004700A8"/>
    <w:rsid w:val="0047070E"/>
    <w:rsid w:val="00470A42"/>
    <w:rsid w:val="0047103C"/>
    <w:rsid w:val="00472A7D"/>
    <w:rsid w:val="00472FBF"/>
    <w:rsid w:val="00473867"/>
    <w:rsid w:val="004738CA"/>
    <w:rsid w:val="00473A39"/>
    <w:rsid w:val="0047416D"/>
    <w:rsid w:val="004741F9"/>
    <w:rsid w:val="004744CE"/>
    <w:rsid w:val="004746BD"/>
    <w:rsid w:val="0047471E"/>
    <w:rsid w:val="00474A5E"/>
    <w:rsid w:val="00474CD6"/>
    <w:rsid w:val="00474EF6"/>
    <w:rsid w:val="004752CA"/>
    <w:rsid w:val="00475421"/>
    <w:rsid w:val="00475BC0"/>
    <w:rsid w:val="0047603C"/>
    <w:rsid w:val="00476B36"/>
    <w:rsid w:val="004777C0"/>
    <w:rsid w:val="00477C22"/>
    <w:rsid w:val="00480624"/>
    <w:rsid w:val="00480A7B"/>
    <w:rsid w:val="004816B5"/>
    <w:rsid w:val="00481761"/>
    <w:rsid w:val="00481A30"/>
    <w:rsid w:val="00482768"/>
    <w:rsid w:val="00482A2A"/>
    <w:rsid w:val="00482B82"/>
    <w:rsid w:val="00482E8E"/>
    <w:rsid w:val="00482F3B"/>
    <w:rsid w:val="0048315E"/>
    <w:rsid w:val="00483449"/>
    <w:rsid w:val="004834DF"/>
    <w:rsid w:val="00483679"/>
    <w:rsid w:val="0048425C"/>
    <w:rsid w:val="0048450A"/>
    <w:rsid w:val="0048461D"/>
    <w:rsid w:val="00484A7A"/>
    <w:rsid w:val="00484C1E"/>
    <w:rsid w:val="00484F19"/>
    <w:rsid w:val="004859C2"/>
    <w:rsid w:val="00486D2A"/>
    <w:rsid w:val="004872F3"/>
    <w:rsid w:val="00490038"/>
    <w:rsid w:val="004903E1"/>
    <w:rsid w:val="004909CD"/>
    <w:rsid w:val="004911A4"/>
    <w:rsid w:val="0049144D"/>
    <w:rsid w:val="00491839"/>
    <w:rsid w:val="00491A8F"/>
    <w:rsid w:val="00491CEB"/>
    <w:rsid w:val="004923A5"/>
    <w:rsid w:val="004923FA"/>
    <w:rsid w:val="00492C6B"/>
    <w:rsid w:val="00492E53"/>
    <w:rsid w:val="00493678"/>
    <w:rsid w:val="00493988"/>
    <w:rsid w:val="0049443E"/>
    <w:rsid w:val="00494972"/>
    <w:rsid w:val="00494D2D"/>
    <w:rsid w:val="004954EE"/>
    <w:rsid w:val="004954FB"/>
    <w:rsid w:val="004958AE"/>
    <w:rsid w:val="004960E0"/>
    <w:rsid w:val="0049715B"/>
    <w:rsid w:val="00497593"/>
    <w:rsid w:val="0049775B"/>
    <w:rsid w:val="00497EBD"/>
    <w:rsid w:val="004A0A73"/>
    <w:rsid w:val="004A1831"/>
    <w:rsid w:val="004A186E"/>
    <w:rsid w:val="004A1D48"/>
    <w:rsid w:val="004A1F32"/>
    <w:rsid w:val="004A23D7"/>
    <w:rsid w:val="004A3399"/>
    <w:rsid w:val="004A34FB"/>
    <w:rsid w:val="004A3B53"/>
    <w:rsid w:val="004A4153"/>
    <w:rsid w:val="004A41FC"/>
    <w:rsid w:val="004A4B00"/>
    <w:rsid w:val="004A4C5A"/>
    <w:rsid w:val="004A540A"/>
    <w:rsid w:val="004A5583"/>
    <w:rsid w:val="004A5C99"/>
    <w:rsid w:val="004A63A0"/>
    <w:rsid w:val="004A667B"/>
    <w:rsid w:val="004A66D9"/>
    <w:rsid w:val="004A79E5"/>
    <w:rsid w:val="004A7D27"/>
    <w:rsid w:val="004B07A9"/>
    <w:rsid w:val="004B101B"/>
    <w:rsid w:val="004B1304"/>
    <w:rsid w:val="004B17C8"/>
    <w:rsid w:val="004B1A95"/>
    <w:rsid w:val="004B1B2C"/>
    <w:rsid w:val="004B1C53"/>
    <w:rsid w:val="004B2730"/>
    <w:rsid w:val="004B2ACC"/>
    <w:rsid w:val="004B3B07"/>
    <w:rsid w:val="004B3F83"/>
    <w:rsid w:val="004B3F8C"/>
    <w:rsid w:val="004B42FE"/>
    <w:rsid w:val="004B4D6F"/>
    <w:rsid w:val="004B4F1A"/>
    <w:rsid w:val="004B5293"/>
    <w:rsid w:val="004B539E"/>
    <w:rsid w:val="004B5D04"/>
    <w:rsid w:val="004B6184"/>
    <w:rsid w:val="004B69BB"/>
    <w:rsid w:val="004B6DA0"/>
    <w:rsid w:val="004B6FF7"/>
    <w:rsid w:val="004B776F"/>
    <w:rsid w:val="004B78AE"/>
    <w:rsid w:val="004B7A96"/>
    <w:rsid w:val="004B7CDB"/>
    <w:rsid w:val="004C035D"/>
    <w:rsid w:val="004C0D00"/>
    <w:rsid w:val="004C0D1F"/>
    <w:rsid w:val="004C129D"/>
    <w:rsid w:val="004C12C1"/>
    <w:rsid w:val="004C1410"/>
    <w:rsid w:val="004C1ECC"/>
    <w:rsid w:val="004C2203"/>
    <w:rsid w:val="004C240D"/>
    <w:rsid w:val="004C2993"/>
    <w:rsid w:val="004C331A"/>
    <w:rsid w:val="004C3ABF"/>
    <w:rsid w:val="004C41F4"/>
    <w:rsid w:val="004C4809"/>
    <w:rsid w:val="004C4B45"/>
    <w:rsid w:val="004C4E0B"/>
    <w:rsid w:val="004C550A"/>
    <w:rsid w:val="004C57B2"/>
    <w:rsid w:val="004C5C36"/>
    <w:rsid w:val="004C605A"/>
    <w:rsid w:val="004C6F92"/>
    <w:rsid w:val="004C73A6"/>
    <w:rsid w:val="004C7688"/>
    <w:rsid w:val="004D022B"/>
    <w:rsid w:val="004D037F"/>
    <w:rsid w:val="004D0B8E"/>
    <w:rsid w:val="004D0C94"/>
    <w:rsid w:val="004D0CA0"/>
    <w:rsid w:val="004D0EA5"/>
    <w:rsid w:val="004D24B0"/>
    <w:rsid w:val="004D281A"/>
    <w:rsid w:val="004D369F"/>
    <w:rsid w:val="004D3946"/>
    <w:rsid w:val="004D3EA8"/>
    <w:rsid w:val="004D412A"/>
    <w:rsid w:val="004D429B"/>
    <w:rsid w:val="004D535D"/>
    <w:rsid w:val="004D54C8"/>
    <w:rsid w:val="004D553D"/>
    <w:rsid w:val="004D55E5"/>
    <w:rsid w:val="004D57B2"/>
    <w:rsid w:val="004D6421"/>
    <w:rsid w:val="004D6F3B"/>
    <w:rsid w:val="004D733C"/>
    <w:rsid w:val="004D75E1"/>
    <w:rsid w:val="004D7EA7"/>
    <w:rsid w:val="004D7FB7"/>
    <w:rsid w:val="004E013E"/>
    <w:rsid w:val="004E0B10"/>
    <w:rsid w:val="004E0B1B"/>
    <w:rsid w:val="004E19CA"/>
    <w:rsid w:val="004E1ACE"/>
    <w:rsid w:val="004E1B43"/>
    <w:rsid w:val="004E2488"/>
    <w:rsid w:val="004E26E5"/>
    <w:rsid w:val="004E2C61"/>
    <w:rsid w:val="004E2EF7"/>
    <w:rsid w:val="004E33E6"/>
    <w:rsid w:val="004E3572"/>
    <w:rsid w:val="004E3871"/>
    <w:rsid w:val="004E3AAF"/>
    <w:rsid w:val="004E42E5"/>
    <w:rsid w:val="004E4830"/>
    <w:rsid w:val="004E49B9"/>
    <w:rsid w:val="004E56C2"/>
    <w:rsid w:val="004E5827"/>
    <w:rsid w:val="004E5AE1"/>
    <w:rsid w:val="004E5B3F"/>
    <w:rsid w:val="004E5CEF"/>
    <w:rsid w:val="004E6231"/>
    <w:rsid w:val="004E6284"/>
    <w:rsid w:val="004E633C"/>
    <w:rsid w:val="004E669E"/>
    <w:rsid w:val="004E66CE"/>
    <w:rsid w:val="004E6ACB"/>
    <w:rsid w:val="004E7411"/>
    <w:rsid w:val="004E7D6E"/>
    <w:rsid w:val="004E7D94"/>
    <w:rsid w:val="004E7ED3"/>
    <w:rsid w:val="004F0AD8"/>
    <w:rsid w:val="004F0C51"/>
    <w:rsid w:val="004F0D26"/>
    <w:rsid w:val="004F1203"/>
    <w:rsid w:val="004F2609"/>
    <w:rsid w:val="004F26F6"/>
    <w:rsid w:val="004F2A06"/>
    <w:rsid w:val="004F2A43"/>
    <w:rsid w:val="004F30C4"/>
    <w:rsid w:val="004F3CB5"/>
    <w:rsid w:val="004F4622"/>
    <w:rsid w:val="004F48B4"/>
    <w:rsid w:val="004F4F58"/>
    <w:rsid w:val="004F5C53"/>
    <w:rsid w:val="004F5FE0"/>
    <w:rsid w:val="004F6CEF"/>
    <w:rsid w:val="004F701C"/>
    <w:rsid w:val="004F7071"/>
    <w:rsid w:val="004F757F"/>
    <w:rsid w:val="004F75B7"/>
    <w:rsid w:val="004F7650"/>
    <w:rsid w:val="004F7BE1"/>
    <w:rsid w:val="004F7DBA"/>
    <w:rsid w:val="004F7FAD"/>
    <w:rsid w:val="005000F5"/>
    <w:rsid w:val="0050050B"/>
    <w:rsid w:val="005006DF"/>
    <w:rsid w:val="00500A5D"/>
    <w:rsid w:val="0050196D"/>
    <w:rsid w:val="00501A4F"/>
    <w:rsid w:val="00501FC0"/>
    <w:rsid w:val="0050227F"/>
    <w:rsid w:val="0050240B"/>
    <w:rsid w:val="00502AB3"/>
    <w:rsid w:val="00502B4E"/>
    <w:rsid w:val="00502E91"/>
    <w:rsid w:val="0050318F"/>
    <w:rsid w:val="005035EB"/>
    <w:rsid w:val="00503ACD"/>
    <w:rsid w:val="00503E67"/>
    <w:rsid w:val="00504015"/>
    <w:rsid w:val="005046A1"/>
    <w:rsid w:val="00504C85"/>
    <w:rsid w:val="00504F72"/>
    <w:rsid w:val="00504F82"/>
    <w:rsid w:val="005053A8"/>
    <w:rsid w:val="0050561B"/>
    <w:rsid w:val="00505912"/>
    <w:rsid w:val="00505C71"/>
    <w:rsid w:val="00505E26"/>
    <w:rsid w:val="00506324"/>
    <w:rsid w:val="0050632F"/>
    <w:rsid w:val="005070CB"/>
    <w:rsid w:val="00507168"/>
    <w:rsid w:val="0050785E"/>
    <w:rsid w:val="00510CAF"/>
    <w:rsid w:val="0051153F"/>
    <w:rsid w:val="00511624"/>
    <w:rsid w:val="00511740"/>
    <w:rsid w:val="0051181E"/>
    <w:rsid w:val="00511E22"/>
    <w:rsid w:val="00511FA4"/>
    <w:rsid w:val="00511FE6"/>
    <w:rsid w:val="00512290"/>
    <w:rsid w:val="00512366"/>
    <w:rsid w:val="0051245F"/>
    <w:rsid w:val="00513005"/>
    <w:rsid w:val="0051334E"/>
    <w:rsid w:val="00513762"/>
    <w:rsid w:val="0051376E"/>
    <w:rsid w:val="00513B56"/>
    <w:rsid w:val="0051438C"/>
    <w:rsid w:val="00514617"/>
    <w:rsid w:val="00514BDF"/>
    <w:rsid w:val="005153F9"/>
    <w:rsid w:val="005155A6"/>
    <w:rsid w:val="00515DEC"/>
    <w:rsid w:val="00516184"/>
    <w:rsid w:val="00516882"/>
    <w:rsid w:val="00516FA1"/>
    <w:rsid w:val="005176B4"/>
    <w:rsid w:val="00517DE1"/>
    <w:rsid w:val="00520458"/>
    <w:rsid w:val="0052047D"/>
    <w:rsid w:val="00520568"/>
    <w:rsid w:val="005206C5"/>
    <w:rsid w:val="005208E0"/>
    <w:rsid w:val="0052273F"/>
    <w:rsid w:val="00522CC6"/>
    <w:rsid w:val="00522E54"/>
    <w:rsid w:val="00523162"/>
    <w:rsid w:val="00523713"/>
    <w:rsid w:val="00523B44"/>
    <w:rsid w:val="00523F70"/>
    <w:rsid w:val="0052459C"/>
    <w:rsid w:val="005245E1"/>
    <w:rsid w:val="005248C9"/>
    <w:rsid w:val="00524FAA"/>
    <w:rsid w:val="005254D5"/>
    <w:rsid w:val="00525AB2"/>
    <w:rsid w:val="00525FA0"/>
    <w:rsid w:val="005266CF"/>
    <w:rsid w:val="005272F0"/>
    <w:rsid w:val="0053006D"/>
    <w:rsid w:val="005303B2"/>
    <w:rsid w:val="00531524"/>
    <w:rsid w:val="00531A45"/>
    <w:rsid w:val="005328E6"/>
    <w:rsid w:val="005329C2"/>
    <w:rsid w:val="005337D4"/>
    <w:rsid w:val="00533B67"/>
    <w:rsid w:val="00534328"/>
    <w:rsid w:val="00535276"/>
    <w:rsid w:val="005360E7"/>
    <w:rsid w:val="005368EC"/>
    <w:rsid w:val="00537178"/>
    <w:rsid w:val="00537655"/>
    <w:rsid w:val="00540632"/>
    <w:rsid w:val="00540B30"/>
    <w:rsid w:val="00541296"/>
    <w:rsid w:val="005414DF"/>
    <w:rsid w:val="00541A03"/>
    <w:rsid w:val="00541C38"/>
    <w:rsid w:val="00542127"/>
    <w:rsid w:val="005421CE"/>
    <w:rsid w:val="00543E0F"/>
    <w:rsid w:val="0054409D"/>
    <w:rsid w:val="0054499E"/>
    <w:rsid w:val="00544E4C"/>
    <w:rsid w:val="005454E8"/>
    <w:rsid w:val="00545DC5"/>
    <w:rsid w:val="00545E12"/>
    <w:rsid w:val="00545F8F"/>
    <w:rsid w:val="005460B1"/>
    <w:rsid w:val="005467FD"/>
    <w:rsid w:val="00546DFB"/>
    <w:rsid w:val="00546E00"/>
    <w:rsid w:val="00547161"/>
    <w:rsid w:val="00547347"/>
    <w:rsid w:val="00547887"/>
    <w:rsid w:val="00547A73"/>
    <w:rsid w:val="00547F58"/>
    <w:rsid w:val="0055021C"/>
    <w:rsid w:val="005502DC"/>
    <w:rsid w:val="005509DA"/>
    <w:rsid w:val="00551A09"/>
    <w:rsid w:val="00551F85"/>
    <w:rsid w:val="0055206D"/>
    <w:rsid w:val="00552534"/>
    <w:rsid w:val="00552D0B"/>
    <w:rsid w:val="00552D2C"/>
    <w:rsid w:val="00553387"/>
    <w:rsid w:val="005533C7"/>
    <w:rsid w:val="00553B31"/>
    <w:rsid w:val="00553CAE"/>
    <w:rsid w:val="00553FEF"/>
    <w:rsid w:val="0055511E"/>
    <w:rsid w:val="005551B7"/>
    <w:rsid w:val="00555454"/>
    <w:rsid w:val="005557D7"/>
    <w:rsid w:val="00555C66"/>
    <w:rsid w:val="005562DF"/>
    <w:rsid w:val="00556EDD"/>
    <w:rsid w:val="00557348"/>
    <w:rsid w:val="00557763"/>
    <w:rsid w:val="0056004E"/>
    <w:rsid w:val="005602F4"/>
    <w:rsid w:val="0056123F"/>
    <w:rsid w:val="00561422"/>
    <w:rsid w:val="00561C18"/>
    <w:rsid w:val="00563514"/>
    <w:rsid w:val="005637A4"/>
    <w:rsid w:val="005639BA"/>
    <w:rsid w:val="005641B2"/>
    <w:rsid w:val="00564BC2"/>
    <w:rsid w:val="00564D46"/>
    <w:rsid w:val="00565C03"/>
    <w:rsid w:val="00566190"/>
    <w:rsid w:val="005666A1"/>
    <w:rsid w:val="005667B7"/>
    <w:rsid w:val="00566CF2"/>
    <w:rsid w:val="005674E0"/>
    <w:rsid w:val="00567671"/>
    <w:rsid w:val="00570530"/>
    <w:rsid w:val="00571A6A"/>
    <w:rsid w:val="00572663"/>
    <w:rsid w:val="00572699"/>
    <w:rsid w:val="00572787"/>
    <w:rsid w:val="00572EEC"/>
    <w:rsid w:val="00574A53"/>
    <w:rsid w:val="00574C98"/>
    <w:rsid w:val="00575577"/>
    <w:rsid w:val="005757F9"/>
    <w:rsid w:val="00575935"/>
    <w:rsid w:val="00576171"/>
    <w:rsid w:val="0057629F"/>
    <w:rsid w:val="005765EA"/>
    <w:rsid w:val="00577004"/>
    <w:rsid w:val="005771B8"/>
    <w:rsid w:val="005776A9"/>
    <w:rsid w:val="00577C0E"/>
    <w:rsid w:val="00577EA1"/>
    <w:rsid w:val="005800AF"/>
    <w:rsid w:val="00580B93"/>
    <w:rsid w:val="00580E7C"/>
    <w:rsid w:val="00582213"/>
    <w:rsid w:val="00582426"/>
    <w:rsid w:val="005826C0"/>
    <w:rsid w:val="005831F3"/>
    <w:rsid w:val="005832D4"/>
    <w:rsid w:val="0058370A"/>
    <w:rsid w:val="0058439D"/>
    <w:rsid w:val="005856D7"/>
    <w:rsid w:val="00585A38"/>
    <w:rsid w:val="00586072"/>
    <w:rsid w:val="00586161"/>
    <w:rsid w:val="00587834"/>
    <w:rsid w:val="005879B6"/>
    <w:rsid w:val="00590EE0"/>
    <w:rsid w:val="005920FD"/>
    <w:rsid w:val="00592342"/>
    <w:rsid w:val="005925C4"/>
    <w:rsid w:val="00592DB0"/>
    <w:rsid w:val="00592F6D"/>
    <w:rsid w:val="005932F9"/>
    <w:rsid w:val="0059379B"/>
    <w:rsid w:val="00593B8B"/>
    <w:rsid w:val="00594050"/>
    <w:rsid w:val="00594129"/>
    <w:rsid w:val="0059455A"/>
    <w:rsid w:val="00594AB3"/>
    <w:rsid w:val="00594B2E"/>
    <w:rsid w:val="00594F86"/>
    <w:rsid w:val="00595267"/>
    <w:rsid w:val="005953AC"/>
    <w:rsid w:val="00595545"/>
    <w:rsid w:val="005979A4"/>
    <w:rsid w:val="005A0607"/>
    <w:rsid w:val="005A194C"/>
    <w:rsid w:val="005A1AF6"/>
    <w:rsid w:val="005A1B38"/>
    <w:rsid w:val="005A1E0F"/>
    <w:rsid w:val="005A2B12"/>
    <w:rsid w:val="005A31EF"/>
    <w:rsid w:val="005A36CA"/>
    <w:rsid w:val="005A3B5B"/>
    <w:rsid w:val="005A3E17"/>
    <w:rsid w:val="005A3F4C"/>
    <w:rsid w:val="005A3F7D"/>
    <w:rsid w:val="005A4ED9"/>
    <w:rsid w:val="005A5017"/>
    <w:rsid w:val="005A50DD"/>
    <w:rsid w:val="005A523F"/>
    <w:rsid w:val="005A5DF7"/>
    <w:rsid w:val="005A5F09"/>
    <w:rsid w:val="005A679A"/>
    <w:rsid w:val="005A7509"/>
    <w:rsid w:val="005A78C7"/>
    <w:rsid w:val="005A7CC0"/>
    <w:rsid w:val="005B0422"/>
    <w:rsid w:val="005B07C9"/>
    <w:rsid w:val="005B1027"/>
    <w:rsid w:val="005B17E1"/>
    <w:rsid w:val="005B19B5"/>
    <w:rsid w:val="005B1A84"/>
    <w:rsid w:val="005B1D23"/>
    <w:rsid w:val="005B2264"/>
    <w:rsid w:val="005B2558"/>
    <w:rsid w:val="005B29E0"/>
    <w:rsid w:val="005B2AEF"/>
    <w:rsid w:val="005B2C2B"/>
    <w:rsid w:val="005B2CCD"/>
    <w:rsid w:val="005B2EE5"/>
    <w:rsid w:val="005B33F2"/>
    <w:rsid w:val="005B358D"/>
    <w:rsid w:val="005B35BB"/>
    <w:rsid w:val="005B3C10"/>
    <w:rsid w:val="005B48D3"/>
    <w:rsid w:val="005B4C80"/>
    <w:rsid w:val="005B51C3"/>
    <w:rsid w:val="005B6BE8"/>
    <w:rsid w:val="005B79AA"/>
    <w:rsid w:val="005B7E15"/>
    <w:rsid w:val="005C007F"/>
    <w:rsid w:val="005C0A71"/>
    <w:rsid w:val="005C0BA1"/>
    <w:rsid w:val="005C0CB7"/>
    <w:rsid w:val="005C1962"/>
    <w:rsid w:val="005C1E10"/>
    <w:rsid w:val="005C2336"/>
    <w:rsid w:val="005C2BD0"/>
    <w:rsid w:val="005C36CC"/>
    <w:rsid w:val="005C49D5"/>
    <w:rsid w:val="005C4F74"/>
    <w:rsid w:val="005C5383"/>
    <w:rsid w:val="005C55A3"/>
    <w:rsid w:val="005C5656"/>
    <w:rsid w:val="005C68C0"/>
    <w:rsid w:val="005C6BE3"/>
    <w:rsid w:val="005C6D8D"/>
    <w:rsid w:val="005C740C"/>
    <w:rsid w:val="005C7559"/>
    <w:rsid w:val="005D0626"/>
    <w:rsid w:val="005D0658"/>
    <w:rsid w:val="005D0AD7"/>
    <w:rsid w:val="005D0EFD"/>
    <w:rsid w:val="005D1254"/>
    <w:rsid w:val="005D1692"/>
    <w:rsid w:val="005D2598"/>
    <w:rsid w:val="005D3B41"/>
    <w:rsid w:val="005D3B6B"/>
    <w:rsid w:val="005D3D0B"/>
    <w:rsid w:val="005D4340"/>
    <w:rsid w:val="005D573D"/>
    <w:rsid w:val="005D5A62"/>
    <w:rsid w:val="005D5DFA"/>
    <w:rsid w:val="005D5E42"/>
    <w:rsid w:val="005D5E5C"/>
    <w:rsid w:val="005D6665"/>
    <w:rsid w:val="005D66ED"/>
    <w:rsid w:val="005D67A6"/>
    <w:rsid w:val="005D69B1"/>
    <w:rsid w:val="005D6D13"/>
    <w:rsid w:val="005D748F"/>
    <w:rsid w:val="005E013F"/>
    <w:rsid w:val="005E1723"/>
    <w:rsid w:val="005E1D00"/>
    <w:rsid w:val="005E1FFB"/>
    <w:rsid w:val="005E2286"/>
    <w:rsid w:val="005E2A4D"/>
    <w:rsid w:val="005E2D40"/>
    <w:rsid w:val="005E3ABB"/>
    <w:rsid w:val="005E3C74"/>
    <w:rsid w:val="005E402C"/>
    <w:rsid w:val="005E4085"/>
    <w:rsid w:val="005E43A8"/>
    <w:rsid w:val="005E470E"/>
    <w:rsid w:val="005E47A3"/>
    <w:rsid w:val="005E491F"/>
    <w:rsid w:val="005E4925"/>
    <w:rsid w:val="005E4D09"/>
    <w:rsid w:val="005E4E8E"/>
    <w:rsid w:val="005E52B8"/>
    <w:rsid w:val="005E5F7C"/>
    <w:rsid w:val="005E6093"/>
    <w:rsid w:val="005E62D3"/>
    <w:rsid w:val="005E68BC"/>
    <w:rsid w:val="005E6CE2"/>
    <w:rsid w:val="005E6FDB"/>
    <w:rsid w:val="005E7042"/>
    <w:rsid w:val="005E7213"/>
    <w:rsid w:val="005E77D3"/>
    <w:rsid w:val="005F15D8"/>
    <w:rsid w:val="005F2296"/>
    <w:rsid w:val="005F23A5"/>
    <w:rsid w:val="005F284E"/>
    <w:rsid w:val="005F2D60"/>
    <w:rsid w:val="005F38AD"/>
    <w:rsid w:val="005F4498"/>
    <w:rsid w:val="005F4AED"/>
    <w:rsid w:val="005F4BAB"/>
    <w:rsid w:val="005F4DBF"/>
    <w:rsid w:val="005F4E55"/>
    <w:rsid w:val="005F5E9E"/>
    <w:rsid w:val="005F6106"/>
    <w:rsid w:val="005F61DF"/>
    <w:rsid w:val="005F73F9"/>
    <w:rsid w:val="005F7510"/>
    <w:rsid w:val="005F7A3E"/>
    <w:rsid w:val="006001E7"/>
    <w:rsid w:val="0060091E"/>
    <w:rsid w:val="006019E9"/>
    <w:rsid w:val="00601C07"/>
    <w:rsid w:val="00601F9D"/>
    <w:rsid w:val="006023FC"/>
    <w:rsid w:val="00602456"/>
    <w:rsid w:val="00602DF4"/>
    <w:rsid w:val="0060308C"/>
    <w:rsid w:val="006032A7"/>
    <w:rsid w:val="006033F1"/>
    <w:rsid w:val="00603AA0"/>
    <w:rsid w:val="00603DAE"/>
    <w:rsid w:val="0060419B"/>
    <w:rsid w:val="00604245"/>
    <w:rsid w:val="006045FE"/>
    <w:rsid w:val="006046E5"/>
    <w:rsid w:val="00604AC9"/>
    <w:rsid w:val="006056A2"/>
    <w:rsid w:val="00605C46"/>
    <w:rsid w:val="00605CD7"/>
    <w:rsid w:val="0060606D"/>
    <w:rsid w:val="00606425"/>
    <w:rsid w:val="006065CA"/>
    <w:rsid w:val="00606634"/>
    <w:rsid w:val="0060690E"/>
    <w:rsid w:val="00606999"/>
    <w:rsid w:val="00606B27"/>
    <w:rsid w:val="00606D09"/>
    <w:rsid w:val="0060786D"/>
    <w:rsid w:val="00610113"/>
    <w:rsid w:val="006102CA"/>
    <w:rsid w:val="006104E2"/>
    <w:rsid w:val="0061072A"/>
    <w:rsid w:val="0061107C"/>
    <w:rsid w:val="00611189"/>
    <w:rsid w:val="00611287"/>
    <w:rsid w:val="00611714"/>
    <w:rsid w:val="00611715"/>
    <w:rsid w:val="00611855"/>
    <w:rsid w:val="00611B38"/>
    <w:rsid w:val="006122C1"/>
    <w:rsid w:val="006136B7"/>
    <w:rsid w:val="006136FD"/>
    <w:rsid w:val="00613724"/>
    <w:rsid w:val="00613A0E"/>
    <w:rsid w:val="00613AAE"/>
    <w:rsid w:val="00613CF3"/>
    <w:rsid w:val="0061439E"/>
    <w:rsid w:val="0061446B"/>
    <w:rsid w:val="0061478D"/>
    <w:rsid w:val="00614929"/>
    <w:rsid w:val="00615302"/>
    <w:rsid w:val="006155C4"/>
    <w:rsid w:val="006166E9"/>
    <w:rsid w:val="0061726A"/>
    <w:rsid w:val="006178C6"/>
    <w:rsid w:val="00617F52"/>
    <w:rsid w:val="00620135"/>
    <w:rsid w:val="006209A8"/>
    <w:rsid w:val="00620BA3"/>
    <w:rsid w:val="00620D74"/>
    <w:rsid w:val="0062130E"/>
    <w:rsid w:val="00621318"/>
    <w:rsid w:val="006224C1"/>
    <w:rsid w:val="006227DA"/>
    <w:rsid w:val="006227E2"/>
    <w:rsid w:val="00622C55"/>
    <w:rsid w:val="00623DF9"/>
    <w:rsid w:val="00624561"/>
    <w:rsid w:val="006245CF"/>
    <w:rsid w:val="00624960"/>
    <w:rsid w:val="00624E24"/>
    <w:rsid w:val="00624E2C"/>
    <w:rsid w:val="00624F02"/>
    <w:rsid w:val="00625A03"/>
    <w:rsid w:val="00625B2F"/>
    <w:rsid w:val="00626187"/>
    <w:rsid w:val="00626984"/>
    <w:rsid w:val="00626C24"/>
    <w:rsid w:val="006271D9"/>
    <w:rsid w:val="00627F32"/>
    <w:rsid w:val="006303EF"/>
    <w:rsid w:val="0063084D"/>
    <w:rsid w:val="006308F0"/>
    <w:rsid w:val="0063091A"/>
    <w:rsid w:val="00630BB7"/>
    <w:rsid w:val="00631186"/>
    <w:rsid w:val="00631339"/>
    <w:rsid w:val="006313F5"/>
    <w:rsid w:val="0063193D"/>
    <w:rsid w:val="00632061"/>
    <w:rsid w:val="00632592"/>
    <w:rsid w:val="00632655"/>
    <w:rsid w:val="00632745"/>
    <w:rsid w:val="00632AF4"/>
    <w:rsid w:val="006333A3"/>
    <w:rsid w:val="00633683"/>
    <w:rsid w:val="006337ED"/>
    <w:rsid w:val="006346B7"/>
    <w:rsid w:val="00634865"/>
    <w:rsid w:val="00635631"/>
    <w:rsid w:val="00635980"/>
    <w:rsid w:val="00635E0B"/>
    <w:rsid w:val="00636477"/>
    <w:rsid w:val="00636B38"/>
    <w:rsid w:val="006373C5"/>
    <w:rsid w:val="00637486"/>
    <w:rsid w:val="006376ED"/>
    <w:rsid w:val="0063777F"/>
    <w:rsid w:val="00637AC7"/>
    <w:rsid w:val="00637D6C"/>
    <w:rsid w:val="006406C4"/>
    <w:rsid w:val="00640734"/>
    <w:rsid w:val="006408FB"/>
    <w:rsid w:val="00640936"/>
    <w:rsid w:val="00640C20"/>
    <w:rsid w:val="006418AF"/>
    <w:rsid w:val="00641B34"/>
    <w:rsid w:val="00641D61"/>
    <w:rsid w:val="00642430"/>
    <w:rsid w:val="006425E4"/>
    <w:rsid w:val="0064260A"/>
    <w:rsid w:val="006448F8"/>
    <w:rsid w:val="006453C5"/>
    <w:rsid w:val="006458EC"/>
    <w:rsid w:val="00645F23"/>
    <w:rsid w:val="00646B3D"/>
    <w:rsid w:val="00646C1B"/>
    <w:rsid w:val="00647477"/>
    <w:rsid w:val="006475CE"/>
    <w:rsid w:val="00647EB3"/>
    <w:rsid w:val="00651138"/>
    <w:rsid w:val="006511A3"/>
    <w:rsid w:val="00651807"/>
    <w:rsid w:val="00651A62"/>
    <w:rsid w:val="006520A7"/>
    <w:rsid w:val="006527A8"/>
    <w:rsid w:val="00653100"/>
    <w:rsid w:val="006535F3"/>
    <w:rsid w:val="006550B5"/>
    <w:rsid w:val="006559C3"/>
    <w:rsid w:val="00655A00"/>
    <w:rsid w:val="00655A3B"/>
    <w:rsid w:val="006561D7"/>
    <w:rsid w:val="0065633E"/>
    <w:rsid w:val="006566F6"/>
    <w:rsid w:val="00656A22"/>
    <w:rsid w:val="00656C30"/>
    <w:rsid w:val="00657611"/>
    <w:rsid w:val="00657D09"/>
    <w:rsid w:val="00660FB3"/>
    <w:rsid w:val="006610A6"/>
    <w:rsid w:val="006613E6"/>
    <w:rsid w:val="00661C98"/>
    <w:rsid w:val="00661E38"/>
    <w:rsid w:val="0066237F"/>
    <w:rsid w:val="00662E47"/>
    <w:rsid w:val="006632F9"/>
    <w:rsid w:val="00663B82"/>
    <w:rsid w:val="00663BF7"/>
    <w:rsid w:val="00663EDB"/>
    <w:rsid w:val="00664219"/>
    <w:rsid w:val="00664482"/>
    <w:rsid w:val="00664DA9"/>
    <w:rsid w:val="0066598D"/>
    <w:rsid w:val="006659BE"/>
    <w:rsid w:val="00665B1A"/>
    <w:rsid w:val="00665E7A"/>
    <w:rsid w:val="00665F2F"/>
    <w:rsid w:val="00666945"/>
    <w:rsid w:val="00666C63"/>
    <w:rsid w:val="00666E11"/>
    <w:rsid w:val="00670201"/>
    <w:rsid w:val="00670A6D"/>
    <w:rsid w:val="00671CBE"/>
    <w:rsid w:val="00671EF5"/>
    <w:rsid w:val="00672DD5"/>
    <w:rsid w:val="00673610"/>
    <w:rsid w:val="00674346"/>
    <w:rsid w:val="00675797"/>
    <w:rsid w:val="00675919"/>
    <w:rsid w:val="00675A26"/>
    <w:rsid w:val="00675F26"/>
    <w:rsid w:val="006764B3"/>
    <w:rsid w:val="00677649"/>
    <w:rsid w:val="00677856"/>
    <w:rsid w:val="0068029C"/>
    <w:rsid w:val="0068062F"/>
    <w:rsid w:val="00680F24"/>
    <w:rsid w:val="00681447"/>
    <w:rsid w:val="0068146E"/>
    <w:rsid w:val="00681683"/>
    <w:rsid w:val="00681700"/>
    <w:rsid w:val="00682E00"/>
    <w:rsid w:val="00683FDC"/>
    <w:rsid w:val="006847AF"/>
    <w:rsid w:val="00684A24"/>
    <w:rsid w:val="006858E7"/>
    <w:rsid w:val="00685AF2"/>
    <w:rsid w:val="00685B20"/>
    <w:rsid w:val="00687182"/>
    <w:rsid w:val="00687AFB"/>
    <w:rsid w:val="00687B79"/>
    <w:rsid w:val="00687E61"/>
    <w:rsid w:val="00687FDD"/>
    <w:rsid w:val="00690064"/>
    <w:rsid w:val="006905C6"/>
    <w:rsid w:val="006907C5"/>
    <w:rsid w:val="00690A19"/>
    <w:rsid w:val="00690E16"/>
    <w:rsid w:val="0069109A"/>
    <w:rsid w:val="00691446"/>
    <w:rsid w:val="006917CD"/>
    <w:rsid w:val="00691B34"/>
    <w:rsid w:val="00691D95"/>
    <w:rsid w:val="00691DFE"/>
    <w:rsid w:val="006924C1"/>
    <w:rsid w:val="00692780"/>
    <w:rsid w:val="00692A00"/>
    <w:rsid w:val="006934ED"/>
    <w:rsid w:val="00693548"/>
    <w:rsid w:val="00693595"/>
    <w:rsid w:val="00693928"/>
    <w:rsid w:val="006939D7"/>
    <w:rsid w:val="006941FC"/>
    <w:rsid w:val="006947A9"/>
    <w:rsid w:val="006949D2"/>
    <w:rsid w:val="00694C06"/>
    <w:rsid w:val="00694C5F"/>
    <w:rsid w:val="00695140"/>
    <w:rsid w:val="006955B2"/>
    <w:rsid w:val="00696917"/>
    <w:rsid w:val="006971D7"/>
    <w:rsid w:val="00697544"/>
    <w:rsid w:val="00697946"/>
    <w:rsid w:val="006A028F"/>
    <w:rsid w:val="006A0AF2"/>
    <w:rsid w:val="006A0DE8"/>
    <w:rsid w:val="006A1331"/>
    <w:rsid w:val="006A2333"/>
    <w:rsid w:val="006A23D3"/>
    <w:rsid w:val="006A38F5"/>
    <w:rsid w:val="006A3903"/>
    <w:rsid w:val="006A3F08"/>
    <w:rsid w:val="006A4A9C"/>
    <w:rsid w:val="006A4D43"/>
    <w:rsid w:val="006A5A30"/>
    <w:rsid w:val="006A6325"/>
    <w:rsid w:val="006A6E1D"/>
    <w:rsid w:val="006A71A2"/>
    <w:rsid w:val="006A72F2"/>
    <w:rsid w:val="006A742B"/>
    <w:rsid w:val="006A757A"/>
    <w:rsid w:val="006A77B9"/>
    <w:rsid w:val="006A7A0B"/>
    <w:rsid w:val="006B0328"/>
    <w:rsid w:val="006B15F7"/>
    <w:rsid w:val="006B169E"/>
    <w:rsid w:val="006B177F"/>
    <w:rsid w:val="006B1A42"/>
    <w:rsid w:val="006B1A89"/>
    <w:rsid w:val="006B2842"/>
    <w:rsid w:val="006B2E90"/>
    <w:rsid w:val="006B2E9F"/>
    <w:rsid w:val="006B32AB"/>
    <w:rsid w:val="006B33B4"/>
    <w:rsid w:val="006B388A"/>
    <w:rsid w:val="006B4253"/>
    <w:rsid w:val="006B43EC"/>
    <w:rsid w:val="006B5691"/>
    <w:rsid w:val="006B58E6"/>
    <w:rsid w:val="006B652D"/>
    <w:rsid w:val="006B65A7"/>
    <w:rsid w:val="006B682E"/>
    <w:rsid w:val="006B68E0"/>
    <w:rsid w:val="006B6C95"/>
    <w:rsid w:val="006B6F8B"/>
    <w:rsid w:val="006B72FB"/>
    <w:rsid w:val="006B7F66"/>
    <w:rsid w:val="006C1910"/>
    <w:rsid w:val="006C1AC7"/>
    <w:rsid w:val="006C209F"/>
    <w:rsid w:val="006C2544"/>
    <w:rsid w:val="006C320A"/>
    <w:rsid w:val="006C32DC"/>
    <w:rsid w:val="006C3577"/>
    <w:rsid w:val="006C37F9"/>
    <w:rsid w:val="006C4BC8"/>
    <w:rsid w:val="006C4E53"/>
    <w:rsid w:val="006C56DA"/>
    <w:rsid w:val="006C5846"/>
    <w:rsid w:val="006C6511"/>
    <w:rsid w:val="006C655B"/>
    <w:rsid w:val="006C76FB"/>
    <w:rsid w:val="006C79C1"/>
    <w:rsid w:val="006D001F"/>
    <w:rsid w:val="006D1884"/>
    <w:rsid w:val="006D1972"/>
    <w:rsid w:val="006D19FD"/>
    <w:rsid w:val="006D1A13"/>
    <w:rsid w:val="006D1F1E"/>
    <w:rsid w:val="006D329F"/>
    <w:rsid w:val="006D32F6"/>
    <w:rsid w:val="006D4362"/>
    <w:rsid w:val="006D49AC"/>
    <w:rsid w:val="006D4A96"/>
    <w:rsid w:val="006D4AA0"/>
    <w:rsid w:val="006D4B3F"/>
    <w:rsid w:val="006D4C62"/>
    <w:rsid w:val="006D547A"/>
    <w:rsid w:val="006D554A"/>
    <w:rsid w:val="006D56A5"/>
    <w:rsid w:val="006D5A84"/>
    <w:rsid w:val="006D5B3B"/>
    <w:rsid w:val="006D5C23"/>
    <w:rsid w:val="006D60C2"/>
    <w:rsid w:val="006D629F"/>
    <w:rsid w:val="006D67E2"/>
    <w:rsid w:val="006D698F"/>
    <w:rsid w:val="006D6D66"/>
    <w:rsid w:val="006D712C"/>
    <w:rsid w:val="006D7ADA"/>
    <w:rsid w:val="006D7B17"/>
    <w:rsid w:val="006E0D0F"/>
    <w:rsid w:val="006E1047"/>
    <w:rsid w:val="006E1373"/>
    <w:rsid w:val="006E16AE"/>
    <w:rsid w:val="006E1820"/>
    <w:rsid w:val="006E237B"/>
    <w:rsid w:val="006E29A5"/>
    <w:rsid w:val="006E3763"/>
    <w:rsid w:val="006E37A9"/>
    <w:rsid w:val="006E38D8"/>
    <w:rsid w:val="006E3A5D"/>
    <w:rsid w:val="006E43AD"/>
    <w:rsid w:val="006E45C9"/>
    <w:rsid w:val="006E4C13"/>
    <w:rsid w:val="006E638A"/>
    <w:rsid w:val="006E6450"/>
    <w:rsid w:val="006E69CC"/>
    <w:rsid w:val="006E6A83"/>
    <w:rsid w:val="006E6BD0"/>
    <w:rsid w:val="006E6C7A"/>
    <w:rsid w:val="006E7C12"/>
    <w:rsid w:val="006F07C5"/>
    <w:rsid w:val="006F0849"/>
    <w:rsid w:val="006F0A20"/>
    <w:rsid w:val="006F0BE7"/>
    <w:rsid w:val="006F0E5F"/>
    <w:rsid w:val="006F1312"/>
    <w:rsid w:val="006F1D3B"/>
    <w:rsid w:val="006F1D7D"/>
    <w:rsid w:val="006F1DDA"/>
    <w:rsid w:val="006F1EFB"/>
    <w:rsid w:val="006F265F"/>
    <w:rsid w:val="006F32B3"/>
    <w:rsid w:val="006F41C3"/>
    <w:rsid w:val="006F44B3"/>
    <w:rsid w:val="006F460E"/>
    <w:rsid w:val="006F4DBC"/>
    <w:rsid w:val="006F5135"/>
    <w:rsid w:val="006F54CC"/>
    <w:rsid w:val="006F5528"/>
    <w:rsid w:val="006F552B"/>
    <w:rsid w:val="006F5782"/>
    <w:rsid w:val="006F5850"/>
    <w:rsid w:val="006F6039"/>
    <w:rsid w:val="006F6255"/>
    <w:rsid w:val="006F6659"/>
    <w:rsid w:val="006F71DA"/>
    <w:rsid w:val="006F7553"/>
    <w:rsid w:val="006F79AB"/>
    <w:rsid w:val="006F7E8D"/>
    <w:rsid w:val="007005DF"/>
    <w:rsid w:val="0070081B"/>
    <w:rsid w:val="00700C8C"/>
    <w:rsid w:val="0070113A"/>
    <w:rsid w:val="0070184A"/>
    <w:rsid w:val="00701A88"/>
    <w:rsid w:val="00701ACD"/>
    <w:rsid w:val="00701B21"/>
    <w:rsid w:val="00701D40"/>
    <w:rsid w:val="007024F0"/>
    <w:rsid w:val="007026D6"/>
    <w:rsid w:val="00702909"/>
    <w:rsid w:val="00702CAC"/>
    <w:rsid w:val="007032DC"/>
    <w:rsid w:val="00703E35"/>
    <w:rsid w:val="00704168"/>
    <w:rsid w:val="00704686"/>
    <w:rsid w:val="00704C82"/>
    <w:rsid w:val="00704E4F"/>
    <w:rsid w:val="00705989"/>
    <w:rsid w:val="00705BDB"/>
    <w:rsid w:val="00705C33"/>
    <w:rsid w:val="00705FBF"/>
    <w:rsid w:val="007060FE"/>
    <w:rsid w:val="00706F15"/>
    <w:rsid w:val="00710043"/>
    <w:rsid w:val="00710138"/>
    <w:rsid w:val="007105EE"/>
    <w:rsid w:val="007109B3"/>
    <w:rsid w:val="00710A63"/>
    <w:rsid w:val="00710C6F"/>
    <w:rsid w:val="00710E30"/>
    <w:rsid w:val="0071128B"/>
    <w:rsid w:val="00711895"/>
    <w:rsid w:val="007119C8"/>
    <w:rsid w:val="00711ECE"/>
    <w:rsid w:val="007130A0"/>
    <w:rsid w:val="00713159"/>
    <w:rsid w:val="007133FE"/>
    <w:rsid w:val="00713598"/>
    <w:rsid w:val="0071382D"/>
    <w:rsid w:val="00713884"/>
    <w:rsid w:val="00713A65"/>
    <w:rsid w:val="00714100"/>
    <w:rsid w:val="00714199"/>
    <w:rsid w:val="007142F6"/>
    <w:rsid w:val="007149A9"/>
    <w:rsid w:val="00714DD2"/>
    <w:rsid w:val="00715B0A"/>
    <w:rsid w:val="0071610F"/>
    <w:rsid w:val="007166D2"/>
    <w:rsid w:val="00716880"/>
    <w:rsid w:val="00716A9D"/>
    <w:rsid w:val="00716AF5"/>
    <w:rsid w:val="007170CB"/>
    <w:rsid w:val="007174AD"/>
    <w:rsid w:val="007200B1"/>
    <w:rsid w:val="00720B93"/>
    <w:rsid w:val="00720E47"/>
    <w:rsid w:val="00721197"/>
    <w:rsid w:val="00721205"/>
    <w:rsid w:val="00721638"/>
    <w:rsid w:val="00721651"/>
    <w:rsid w:val="00721691"/>
    <w:rsid w:val="00721B73"/>
    <w:rsid w:val="00722486"/>
    <w:rsid w:val="00722829"/>
    <w:rsid w:val="00722C14"/>
    <w:rsid w:val="00723705"/>
    <w:rsid w:val="007238C7"/>
    <w:rsid w:val="00724227"/>
    <w:rsid w:val="00724AC4"/>
    <w:rsid w:val="00724C04"/>
    <w:rsid w:val="00724C3A"/>
    <w:rsid w:val="00724F94"/>
    <w:rsid w:val="0072534C"/>
    <w:rsid w:val="0072540F"/>
    <w:rsid w:val="00725625"/>
    <w:rsid w:val="00725702"/>
    <w:rsid w:val="00725A9C"/>
    <w:rsid w:val="00726775"/>
    <w:rsid w:val="00727C3E"/>
    <w:rsid w:val="00727C66"/>
    <w:rsid w:val="0073032D"/>
    <w:rsid w:val="00730BFB"/>
    <w:rsid w:val="007314F8"/>
    <w:rsid w:val="00731535"/>
    <w:rsid w:val="00731622"/>
    <w:rsid w:val="00731678"/>
    <w:rsid w:val="00731E16"/>
    <w:rsid w:val="00732242"/>
    <w:rsid w:val="00732754"/>
    <w:rsid w:val="0073345B"/>
    <w:rsid w:val="00733BB0"/>
    <w:rsid w:val="00733BB7"/>
    <w:rsid w:val="00736434"/>
    <w:rsid w:val="00736D52"/>
    <w:rsid w:val="00737584"/>
    <w:rsid w:val="007377F9"/>
    <w:rsid w:val="00737AC2"/>
    <w:rsid w:val="00740627"/>
    <w:rsid w:val="00740D0B"/>
    <w:rsid w:val="00741174"/>
    <w:rsid w:val="00741185"/>
    <w:rsid w:val="007411BA"/>
    <w:rsid w:val="00741476"/>
    <w:rsid w:val="00741869"/>
    <w:rsid w:val="00741A0D"/>
    <w:rsid w:val="0074205F"/>
    <w:rsid w:val="007420AA"/>
    <w:rsid w:val="0074248F"/>
    <w:rsid w:val="007428D4"/>
    <w:rsid w:val="00742B89"/>
    <w:rsid w:val="00742C0B"/>
    <w:rsid w:val="00743050"/>
    <w:rsid w:val="0074383C"/>
    <w:rsid w:val="0074418E"/>
    <w:rsid w:val="007441AA"/>
    <w:rsid w:val="00744662"/>
    <w:rsid w:val="00744948"/>
    <w:rsid w:val="00745870"/>
    <w:rsid w:val="00745A36"/>
    <w:rsid w:val="007464DE"/>
    <w:rsid w:val="007465DD"/>
    <w:rsid w:val="00746DD4"/>
    <w:rsid w:val="0074784F"/>
    <w:rsid w:val="007479EF"/>
    <w:rsid w:val="00747DBC"/>
    <w:rsid w:val="00750167"/>
    <w:rsid w:val="00750388"/>
    <w:rsid w:val="00750441"/>
    <w:rsid w:val="0075076B"/>
    <w:rsid w:val="00750B87"/>
    <w:rsid w:val="00750BBA"/>
    <w:rsid w:val="00750E3B"/>
    <w:rsid w:val="00751A4A"/>
    <w:rsid w:val="00751CB1"/>
    <w:rsid w:val="00751E0A"/>
    <w:rsid w:val="00752B7D"/>
    <w:rsid w:val="00752BD0"/>
    <w:rsid w:val="00753014"/>
    <w:rsid w:val="00753325"/>
    <w:rsid w:val="00753575"/>
    <w:rsid w:val="007538D7"/>
    <w:rsid w:val="0075401E"/>
    <w:rsid w:val="00754057"/>
    <w:rsid w:val="0075426C"/>
    <w:rsid w:val="00754659"/>
    <w:rsid w:val="007549D5"/>
    <w:rsid w:val="00754C00"/>
    <w:rsid w:val="007558B2"/>
    <w:rsid w:val="00755922"/>
    <w:rsid w:val="00755C4F"/>
    <w:rsid w:val="00755D63"/>
    <w:rsid w:val="00755E8C"/>
    <w:rsid w:val="00755F24"/>
    <w:rsid w:val="0075620D"/>
    <w:rsid w:val="007562A4"/>
    <w:rsid w:val="0075653A"/>
    <w:rsid w:val="0075669C"/>
    <w:rsid w:val="00756949"/>
    <w:rsid w:val="00756EA1"/>
    <w:rsid w:val="00756FA2"/>
    <w:rsid w:val="007570EA"/>
    <w:rsid w:val="007577E3"/>
    <w:rsid w:val="00757AFA"/>
    <w:rsid w:val="00757CF9"/>
    <w:rsid w:val="00760556"/>
    <w:rsid w:val="00760A57"/>
    <w:rsid w:val="00760A76"/>
    <w:rsid w:val="00760B57"/>
    <w:rsid w:val="0076168A"/>
    <w:rsid w:val="00761785"/>
    <w:rsid w:val="007618BB"/>
    <w:rsid w:val="0076191A"/>
    <w:rsid w:val="0076244C"/>
    <w:rsid w:val="00762695"/>
    <w:rsid w:val="00762831"/>
    <w:rsid w:val="00762F01"/>
    <w:rsid w:val="00763581"/>
    <w:rsid w:val="00763A58"/>
    <w:rsid w:val="00763F19"/>
    <w:rsid w:val="0076436E"/>
    <w:rsid w:val="0076447C"/>
    <w:rsid w:val="0076463A"/>
    <w:rsid w:val="00764FC1"/>
    <w:rsid w:val="007651E9"/>
    <w:rsid w:val="0076596A"/>
    <w:rsid w:val="00766537"/>
    <w:rsid w:val="007665A0"/>
    <w:rsid w:val="0076732F"/>
    <w:rsid w:val="007676A3"/>
    <w:rsid w:val="007679CC"/>
    <w:rsid w:val="00767B6E"/>
    <w:rsid w:val="00770433"/>
    <w:rsid w:val="007716FE"/>
    <w:rsid w:val="00771986"/>
    <w:rsid w:val="00771CC1"/>
    <w:rsid w:val="00771D68"/>
    <w:rsid w:val="007720E2"/>
    <w:rsid w:val="007726E3"/>
    <w:rsid w:val="00772C7E"/>
    <w:rsid w:val="007730AD"/>
    <w:rsid w:val="00773707"/>
    <w:rsid w:val="00773DB2"/>
    <w:rsid w:val="007741C6"/>
    <w:rsid w:val="00774760"/>
    <w:rsid w:val="00774FD6"/>
    <w:rsid w:val="007750A8"/>
    <w:rsid w:val="00775C6A"/>
    <w:rsid w:val="00776B70"/>
    <w:rsid w:val="00776C6B"/>
    <w:rsid w:val="00776F5E"/>
    <w:rsid w:val="00777FC8"/>
    <w:rsid w:val="0078088D"/>
    <w:rsid w:val="00780C10"/>
    <w:rsid w:val="007813FD"/>
    <w:rsid w:val="00781422"/>
    <w:rsid w:val="0078180D"/>
    <w:rsid w:val="00781FA5"/>
    <w:rsid w:val="00782936"/>
    <w:rsid w:val="00782C2E"/>
    <w:rsid w:val="00782CB2"/>
    <w:rsid w:val="00782E60"/>
    <w:rsid w:val="00783061"/>
    <w:rsid w:val="00783131"/>
    <w:rsid w:val="00783607"/>
    <w:rsid w:val="00783B67"/>
    <w:rsid w:val="007840C8"/>
    <w:rsid w:val="0078428E"/>
    <w:rsid w:val="007844B0"/>
    <w:rsid w:val="00784F7E"/>
    <w:rsid w:val="00785371"/>
    <w:rsid w:val="00785485"/>
    <w:rsid w:val="00785826"/>
    <w:rsid w:val="00785922"/>
    <w:rsid w:val="007859CD"/>
    <w:rsid w:val="007859D8"/>
    <w:rsid w:val="00785F2E"/>
    <w:rsid w:val="0078616D"/>
    <w:rsid w:val="00786446"/>
    <w:rsid w:val="007867FA"/>
    <w:rsid w:val="00786E47"/>
    <w:rsid w:val="00786F76"/>
    <w:rsid w:val="0078711C"/>
    <w:rsid w:val="00787F0D"/>
    <w:rsid w:val="007902A4"/>
    <w:rsid w:val="00790371"/>
    <w:rsid w:val="00790C62"/>
    <w:rsid w:val="00790DCB"/>
    <w:rsid w:val="00790E98"/>
    <w:rsid w:val="00791DFD"/>
    <w:rsid w:val="00791E78"/>
    <w:rsid w:val="00791F10"/>
    <w:rsid w:val="00791FB1"/>
    <w:rsid w:val="00792103"/>
    <w:rsid w:val="0079278F"/>
    <w:rsid w:val="00792B66"/>
    <w:rsid w:val="007932FA"/>
    <w:rsid w:val="00793532"/>
    <w:rsid w:val="0079375D"/>
    <w:rsid w:val="00793B3F"/>
    <w:rsid w:val="00794187"/>
    <w:rsid w:val="00794E05"/>
    <w:rsid w:val="0079513D"/>
    <w:rsid w:val="00795274"/>
    <w:rsid w:val="0079537D"/>
    <w:rsid w:val="00795B9A"/>
    <w:rsid w:val="00796998"/>
    <w:rsid w:val="00796C04"/>
    <w:rsid w:val="00797192"/>
    <w:rsid w:val="0079749C"/>
    <w:rsid w:val="007974D3"/>
    <w:rsid w:val="00797879"/>
    <w:rsid w:val="00797A95"/>
    <w:rsid w:val="00797DA6"/>
    <w:rsid w:val="007A0181"/>
    <w:rsid w:val="007A02C8"/>
    <w:rsid w:val="007A054B"/>
    <w:rsid w:val="007A092E"/>
    <w:rsid w:val="007A0EA7"/>
    <w:rsid w:val="007A1722"/>
    <w:rsid w:val="007A17D9"/>
    <w:rsid w:val="007A1864"/>
    <w:rsid w:val="007A1C1D"/>
    <w:rsid w:val="007A2437"/>
    <w:rsid w:val="007A301D"/>
    <w:rsid w:val="007A30DC"/>
    <w:rsid w:val="007A3A04"/>
    <w:rsid w:val="007A3DDC"/>
    <w:rsid w:val="007A3FAA"/>
    <w:rsid w:val="007A4149"/>
    <w:rsid w:val="007A4538"/>
    <w:rsid w:val="007A47E6"/>
    <w:rsid w:val="007A48C1"/>
    <w:rsid w:val="007A589A"/>
    <w:rsid w:val="007A6928"/>
    <w:rsid w:val="007A6B9A"/>
    <w:rsid w:val="007A7425"/>
    <w:rsid w:val="007A76CD"/>
    <w:rsid w:val="007A7F70"/>
    <w:rsid w:val="007B00C2"/>
    <w:rsid w:val="007B04D9"/>
    <w:rsid w:val="007B06C1"/>
    <w:rsid w:val="007B083C"/>
    <w:rsid w:val="007B0E7A"/>
    <w:rsid w:val="007B0EA0"/>
    <w:rsid w:val="007B112B"/>
    <w:rsid w:val="007B1340"/>
    <w:rsid w:val="007B15BE"/>
    <w:rsid w:val="007B186E"/>
    <w:rsid w:val="007B2126"/>
    <w:rsid w:val="007B2224"/>
    <w:rsid w:val="007B2A5B"/>
    <w:rsid w:val="007B30FF"/>
    <w:rsid w:val="007B3242"/>
    <w:rsid w:val="007B3524"/>
    <w:rsid w:val="007B35AF"/>
    <w:rsid w:val="007B36AD"/>
    <w:rsid w:val="007B3898"/>
    <w:rsid w:val="007B3A78"/>
    <w:rsid w:val="007B4E30"/>
    <w:rsid w:val="007B4FF3"/>
    <w:rsid w:val="007B53E5"/>
    <w:rsid w:val="007B5763"/>
    <w:rsid w:val="007B5907"/>
    <w:rsid w:val="007B5EBA"/>
    <w:rsid w:val="007B6D98"/>
    <w:rsid w:val="007B748C"/>
    <w:rsid w:val="007C0362"/>
    <w:rsid w:val="007C0382"/>
    <w:rsid w:val="007C04D7"/>
    <w:rsid w:val="007C0A80"/>
    <w:rsid w:val="007C1072"/>
    <w:rsid w:val="007C142A"/>
    <w:rsid w:val="007C14A5"/>
    <w:rsid w:val="007C1F67"/>
    <w:rsid w:val="007C35C3"/>
    <w:rsid w:val="007C3960"/>
    <w:rsid w:val="007C3C7A"/>
    <w:rsid w:val="007C418C"/>
    <w:rsid w:val="007C42BA"/>
    <w:rsid w:val="007C48DA"/>
    <w:rsid w:val="007C5125"/>
    <w:rsid w:val="007C573A"/>
    <w:rsid w:val="007C6182"/>
    <w:rsid w:val="007C65E8"/>
    <w:rsid w:val="007C752D"/>
    <w:rsid w:val="007D007F"/>
    <w:rsid w:val="007D07F3"/>
    <w:rsid w:val="007D0E23"/>
    <w:rsid w:val="007D1222"/>
    <w:rsid w:val="007D1DA4"/>
    <w:rsid w:val="007D244F"/>
    <w:rsid w:val="007D29A4"/>
    <w:rsid w:val="007D29D3"/>
    <w:rsid w:val="007D2E8C"/>
    <w:rsid w:val="007D36A7"/>
    <w:rsid w:val="007D3827"/>
    <w:rsid w:val="007D3CD8"/>
    <w:rsid w:val="007D408C"/>
    <w:rsid w:val="007D425C"/>
    <w:rsid w:val="007D46CD"/>
    <w:rsid w:val="007D4C5A"/>
    <w:rsid w:val="007D50FF"/>
    <w:rsid w:val="007D5184"/>
    <w:rsid w:val="007D566B"/>
    <w:rsid w:val="007D5D9F"/>
    <w:rsid w:val="007D69C0"/>
    <w:rsid w:val="007D6AB2"/>
    <w:rsid w:val="007D7C0A"/>
    <w:rsid w:val="007E030B"/>
    <w:rsid w:val="007E09DD"/>
    <w:rsid w:val="007E0CD5"/>
    <w:rsid w:val="007E0FF8"/>
    <w:rsid w:val="007E1229"/>
    <w:rsid w:val="007E1778"/>
    <w:rsid w:val="007E1DE4"/>
    <w:rsid w:val="007E239B"/>
    <w:rsid w:val="007E26AE"/>
    <w:rsid w:val="007E2C69"/>
    <w:rsid w:val="007E39ED"/>
    <w:rsid w:val="007E3BA0"/>
    <w:rsid w:val="007E3E99"/>
    <w:rsid w:val="007E451B"/>
    <w:rsid w:val="007E4946"/>
    <w:rsid w:val="007E4D95"/>
    <w:rsid w:val="007E4F1D"/>
    <w:rsid w:val="007E57A6"/>
    <w:rsid w:val="007E5A5B"/>
    <w:rsid w:val="007E60F0"/>
    <w:rsid w:val="007E6B4A"/>
    <w:rsid w:val="007E6C59"/>
    <w:rsid w:val="007E6F56"/>
    <w:rsid w:val="007E706F"/>
    <w:rsid w:val="007E707F"/>
    <w:rsid w:val="007E7F22"/>
    <w:rsid w:val="007F007B"/>
    <w:rsid w:val="007F0641"/>
    <w:rsid w:val="007F1151"/>
    <w:rsid w:val="007F122B"/>
    <w:rsid w:val="007F13B3"/>
    <w:rsid w:val="007F1411"/>
    <w:rsid w:val="007F165A"/>
    <w:rsid w:val="007F1DA0"/>
    <w:rsid w:val="007F23CB"/>
    <w:rsid w:val="007F264F"/>
    <w:rsid w:val="007F2DAE"/>
    <w:rsid w:val="007F2F54"/>
    <w:rsid w:val="007F2F65"/>
    <w:rsid w:val="007F3038"/>
    <w:rsid w:val="007F30B6"/>
    <w:rsid w:val="007F32FE"/>
    <w:rsid w:val="007F37DF"/>
    <w:rsid w:val="007F3BED"/>
    <w:rsid w:val="007F4895"/>
    <w:rsid w:val="007F4A25"/>
    <w:rsid w:val="007F5819"/>
    <w:rsid w:val="007F58FB"/>
    <w:rsid w:val="007F5F6A"/>
    <w:rsid w:val="007F6642"/>
    <w:rsid w:val="007F6C1E"/>
    <w:rsid w:val="007F6D2F"/>
    <w:rsid w:val="007F7166"/>
    <w:rsid w:val="007F7507"/>
    <w:rsid w:val="007F7ACF"/>
    <w:rsid w:val="007F7C79"/>
    <w:rsid w:val="0080008D"/>
    <w:rsid w:val="008009F2"/>
    <w:rsid w:val="00800A28"/>
    <w:rsid w:val="00801748"/>
    <w:rsid w:val="008020DD"/>
    <w:rsid w:val="008035D0"/>
    <w:rsid w:val="00803FCE"/>
    <w:rsid w:val="00804E3F"/>
    <w:rsid w:val="00805060"/>
    <w:rsid w:val="00805483"/>
    <w:rsid w:val="008058B1"/>
    <w:rsid w:val="008063E1"/>
    <w:rsid w:val="00807044"/>
    <w:rsid w:val="008072E4"/>
    <w:rsid w:val="0081085D"/>
    <w:rsid w:val="00810A4B"/>
    <w:rsid w:val="00810CA6"/>
    <w:rsid w:val="00810D0B"/>
    <w:rsid w:val="00811086"/>
    <w:rsid w:val="008113CC"/>
    <w:rsid w:val="00812846"/>
    <w:rsid w:val="008128B7"/>
    <w:rsid w:val="00812F87"/>
    <w:rsid w:val="00813605"/>
    <w:rsid w:val="0081382C"/>
    <w:rsid w:val="0081405E"/>
    <w:rsid w:val="008143A1"/>
    <w:rsid w:val="00814951"/>
    <w:rsid w:val="00814AF7"/>
    <w:rsid w:val="00814C77"/>
    <w:rsid w:val="00815111"/>
    <w:rsid w:val="00816069"/>
    <w:rsid w:val="00816E4D"/>
    <w:rsid w:val="00816EBE"/>
    <w:rsid w:val="00816F44"/>
    <w:rsid w:val="00816FCD"/>
    <w:rsid w:val="00817583"/>
    <w:rsid w:val="00817850"/>
    <w:rsid w:val="00820040"/>
    <w:rsid w:val="0082014E"/>
    <w:rsid w:val="00820A92"/>
    <w:rsid w:val="00821358"/>
    <w:rsid w:val="008218D0"/>
    <w:rsid w:val="00821AC0"/>
    <w:rsid w:val="008223B3"/>
    <w:rsid w:val="008224A7"/>
    <w:rsid w:val="00822B1E"/>
    <w:rsid w:val="00823937"/>
    <w:rsid w:val="00823A8A"/>
    <w:rsid w:val="00823A9E"/>
    <w:rsid w:val="00823AFD"/>
    <w:rsid w:val="00823B4B"/>
    <w:rsid w:val="00823E8C"/>
    <w:rsid w:val="00823F36"/>
    <w:rsid w:val="008251CF"/>
    <w:rsid w:val="00825F94"/>
    <w:rsid w:val="00826103"/>
    <w:rsid w:val="00826668"/>
    <w:rsid w:val="00826C8F"/>
    <w:rsid w:val="00826D96"/>
    <w:rsid w:val="00827000"/>
    <w:rsid w:val="008277CA"/>
    <w:rsid w:val="00827AD4"/>
    <w:rsid w:val="00830DCF"/>
    <w:rsid w:val="00831077"/>
    <w:rsid w:val="0083166C"/>
    <w:rsid w:val="008316AC"/>
    <w:rsid w:val="008319CF"/>
    <w:rsid w:val="00831A66"/>
    <w:rsid w:val="00831B3D"/>
    <w:rsid w:val="008324AA"/>
    <w:rsid w:val="008331AD"/>
    <w:rsid w:val="008339EF"/>
    <w:rsid w:val="008356BF"/>
    <w:rsid w:val="00836AD9"/>
    <w:rsid w:val="00836AF6"/>
    <w:rsid w:val="00836F42"/>
    <w:rsid w:val="00837C97"/>
    <w:rsid w:val="00837F29"/>
    <w:rsid w:val="00841543"/>
    <w:rsid w:val="00841B12"/>
    <w:rsid w:val="0084204F"/>
    <w:rsid w:val="00842C36"/>
    <w:rsid w:val="00843668"/>
    <w:rsid w:val="00844B0D"/>
    <w:rsid w:val="00844CCA"/>
    <w:rsid w:val="00844F46"/>
    <w:rsid w:val="00845478"/>
    <w:rsid w:val="00845B48"/>
    <w:rsid w:val="0084665E"/>
    <w:rsid w:val="008467A9"/>
    <w:rsid w:val="00846D31"/>
    <w:rsid w:val="00846F8E"/>
    <w:rsid w:val="00847B8D"/>
    <w:rsid w:val="00847C53"/>
    <w:rsid w:val="00847EDD"/>
    <w:rsid w:val="00850145"/>
    <w:rsid w:val="00850321"/>
    <w:rsid w:val="0085038F"/>
    <w:rsid w:val="008507DF"/>
    <w:rsid w:val="00850808"/>
    <w:rsid w:val="00850858"/>
    <w:rsid w:val="00850966"/>
    <w:rsid w:val="00850AEC"/>
    <w:rsid w:val="00850B85"/>
    <w:rsid w:val="00851B66"/>
    <w:rsid w:val="00851DF3"/>
    <w:rsid w:val="008521C8"/>
    <w:rsid w:val="00852265"/>
    <w:rsid w:val="00852288"/>
    <w:rsid w:val="00852DED"/>
    <w:rsid w:val="00852E60"/>
    <w:rsid w:val="00853030"/>
    <w:rsid w:val="0085400D"/>
    <w:rsid w:val="00854062"/>
    <w:rsid w:val="00854789"/>
    <w:rsid w:val="00854BAA"/>
    <w:rsid w:val="00855089"/>
    <w:rsid w:val="0085575A"/>
    <w:rsid w:val="00855A02"/>
    <w:rsid w:val="008563F0"/>
    <w:rsid w:val="00856B9B"/>
    <w:rsid w:val="008575C8"/>
    <w:rsid w:val="00857AAF"/>
    <w:rsid w:val="0086070D"/>
    <w:rsid w:val="00861352"/>
    <w:rsid w:val="0086148E"/>
    <w:rsid w:val="00861921"/>
    <w:rsid w:val="00861E04"/>
    <w:rsid w:val="008624C1"/>
    <w:rsid w:val="0086297B"/>
    <w:rsid w:val="0086397C"/>
    <w:rsid w:val="0086406C"/>
    <w:rsid w:val="008648DF"/>
    <w:rsid w:val="00864A0C"/>
    <w:rsid w:val="00864A8B"/>
    <w:rsid w:val="008658E9"/>
    <w:rsid w:val="008663E4"/>
    <w:rsid w:val="00866F6B"/>
    <w:rsid w:val="00866FB6"/>
    <w:rsid w:val="0086715E"/>
    <w:rsid w:val="00867227"/>
    <w:rsid w:val="00867330"/>
    <w:rsid w:val="00867E22"/>
    <w:rsid w:val="00867ED8"/>
    <w:rsid w:val="0087023C"/>
    <w:rsid w:val="008702D2"/>
    <w:rsid w:val="0087096F"/>
    <w:rsid w:val="00871A3D"/>
    <w:rsid w:val="00871B62"/>
    <w:rsid w:val="00871F3E"/>
    <w:rsid w:val="00872341"/>
    <w:rsid w:val="00872EFF"/>
    <w:rsid w:val="00873322"/>
    <w:rsid w:val="00873734"/>
    <w:rsid w:val="008737C9"/>
    <w:rsid w:val="00873CE6"/>
    <w:rsid w:val="00873E56"/>
    <w:rsid w:val="008740F3"/>
    <w:rsid w:val="00874E00"/>
    <w:rsid w:val="00875423"/>
    <w:rsid w:val="00875D05"/>
    <w:rsid w:val="00875D4D"/>
    <w:rsid w:val="00876108"/>
    <w:rsid w:val="0087647F"/>
    <w:rsid w:val="008768D7"/>
    <w:rsid w:val="00877340"/>
    <w:rsid w:val="008773A4"/>
    <w:rsid w:val="00877494"/>
    <w:rsid w:val="00877815"/>
    <w:rsid w:val="00880D1A"/>
    <w:rsid w:val="00880ECC"/>
    <w:rsid w:val="00881208"/>
    <w:rsid w:val="0088132F"/>
    <w:rsid w:val="00881413"/>
    <w:rsid w:val="00881861"/>
    <w:rsid w:val="00881C20"/>
    <w:rsid w:val="0088205C"/>
    <w:rsid w:val="00882775"/>
    <w:rsid w:val="00882854"/>
    <w:rsid w:val="00883A45"/>
    <w:rsid w:val="00884075"/>
    <w:rsid w:val="00884C9E"/>
    <w:rsid w:val="00884ED0"/>
    <w:rsid w:val="00884EE5"/>
    <w:rsid w:val="008852E2"/>
    <w:rsid w:val="00885BCA"/>
    <w:rsid w:val="00885C57"/>
    <w:rsid w:val="00885D57"/>
    <w:rsid w:val="00886202"/>
    <w:rsid w:val="008863D0"/>
    <w:rsid w:val="0088653A"/>
    <w:rsid w:val="00886559"/>
    <w:rsid w:val="008866B3"/>
    <w:rsid w:val="008866E3"/>
    <w:rsid w:val="00886728"/>
    <w:rsid w:val="00886744"/>
    <w:rsid w:val="008876CE"/>
    <w:rsid w:val="00887A92"/>
    <w:rsid w:val="00887CD8"/>
    <w:rsid w:val="00887DB2"/>
    <w:rsid w:val="008904D4"/>
    <w:rsid w:val="00890CB2"/>
    <w:rsid w:val="00890D3F"/>
    <w:rsid w:val="0089177C"/>
    <w:rsid w:val="00891EC9"/>
    <w:rsid w:val="00892698"/>
    <w:rsid w:val="008928A7"/>
    <w:rsid w:val="00892DE1"/>
    <w:rsid w:val="0089322A"/>
    <w:rsid w:val="00893A9E"/>
    <w:rsid w:val="00893F4C"/>
    <w:rsid w:val="008942C0"/>
    <w:rsid w:val="008944F2"/>
    <w:rsid w:val="0089478B"/>
    <w:rsid w:val="00894E2D"/>
    <w:rsid w:val="00895126"/>
    <w:rsid w:val="00895C38"/>
    <w:rsid w:val="008962EF"/>
    <w:rsid w:val="00896944"/>
    <w:rsid w:val="00896FBA"/>
    <w:rsid w:val="008975DD"/>
    <w:rsid w:val="008A095E"/>
    <w:rsid w:val="008A0AC1"/>
    <w:rsid w:val="008A0B82"/>
    <w:rsid w:val="008A0D2B"/>
    <w:rsid w:val="008A0D58"/>
    <w:rsid w:val="008A10F4"/>
    <w:rsid w:val="008A1499"/>
    <w:rsid w:val="008A29DB"/>
    <w:rsid w:val="008A2E42"/>
    <w:rsid w:val="008A2EC4"/>
    <w:rsid w:val="008A3A44"/>
    <w:rsid w:val="008A4962"/>
    <w:rsid w:val="008A4A61"/>
    <w:rsid w:val="008A4C71"/>
    <w:rsid w:val="008A4FEF"/>
    <w:rsid w:val="008A526B"/>
    <w:rsid w:val="008A5607"/>
    <w:rsid w:val="008A5A7E"/>
    <w:rsid w:val="008A5F8E"/>
    <w:rsid w:val="008A6376"/>
    <w:rsid w:val="008A68B9"/>
    <w:rsid w:val="008A6BFF"/>
    <w:rsid w:val="008A6F4C"/>
    <w:rsid w:val="008A745F"/>
    <w:rsid w:val="008A74F3"/>
    <w:rsid w:val="008B017C"/>
    <w:rsid w:val="008B0203"/>
    <w:rsid w:val="008B047A"/>
    <w:rsid w:val="008B077B"/>
    <w:rsid w:val="008B0AEC"/>
    <w:rsid w:val="008B0CDA"/>
    <w:rsid w:val="008B1A12"/>
    <w:rsid w:val="008B1BFB"/>
    <w:rsid w:val="008B1D76"/>
    <w:rsid w:val="008B2529"/>
    <w:rsid w:val="008B2A9D"/>
    <w:rsid w:val="008B30A9"/>
    <w:rsid w:val="008B43AD"/>
    <w:rsid w:val="008B43E1"/>
    <w:rsid w:val="008B4798"/>
    <w:rsid w:val="008B4956"/>
    <w:rsid w:val="008B4A57"/>
    <w:rsid w:val="008B5599"/>
    <w:rsid w:val="008B60AB"/>
    <w:rsid w:val="008B6884"/>
    <w:rsid w:val="008B697F"/>
    <w:rsid w:val="008B6C7E"/>
    <w:rsid w:val="008B6DDB"/>
    <w:rsid w:val="008B6E1B"/>
    <w:rsid w:val="008B71AB"/>
    <w:rsid w:val="008B74D9"/>
    <w:rsid w:val="008B7759"/>
    <w:rsid w:val="008B7C99"/>
    <w:rsid w:val="008B7D50"/>
    <w:rsid w:val="008C0129"/>
    <w:rsid w:val="008C08CD"/>
    <w:rsid w:val="008C091A"/>
    <w:rsid w:val="008C0B10"/>
    <w:rsid w:val="008C0B31"/>
    <w:rsid w:val="008C1098"/>
    <w:rsid w:val="008C1BC5"/>
    <w:rsid w:val="008C1C2C"/>
    <w:rsid w:val="008C2345"/>
    <w:rsid w:val="008C2F3C"/>
    <w:rsid w:val="008C32E0"/>
    <w:rsid w:val="008C33ED"/>
    <w:rsid w:val="008C3844"/>
    <w:rsid w:val="008C388C"/>
    <w:rsid w:val="008C4333"/>
    <w:rsid w:val="008C4A60"/>
    <w:rsid w:val="008C5A14"/>
    <w:rsid w:val="008C5B0F"/>
    <w:rsid w:val="008C5BC3"/>
    <w:rsid w:val="008C654A"/>
    <w:rsid w:val="008C6D6F"/>
    <w:rsid w:val="008C7786"/>
    <w:rsid w:val="008D0075"/>
    <w:rsid w:val="008D027C"/>
    <w:rsid w:val="008D0ADA"/>
    <w:rsid w:val="008D0F43"/>
    <w:rsid w:val="008D1266"/>
    <w:rsid w:val="008D1935"/>
    <w:rsid w:val="008D1F1F"/>
    <w:rsid w:val="008D1FDF"/>
    <w:rsid w:val="008D2F42"/>
    <w:rsid w:val="008D3723"/>
    <w:rsid w:val="008D3ED7"/>
    <w:rsid w:val="008D41FA"/>
    <w:rsid w:val="008D44C7"/>
    <w:rsid w:val="008D49F8"/>
    <w:rsid w:val="008D4AB4"/>
    <w:rsid w:val="008D4D0A"/>
    <w:rsid w:val="008D5301"/>
    <w:rsid w:val="008D5342"/>
    <w:rsid w:val="008D53A4"/>
    <w:rsid w:val="008D53AD"/>
    <w:rsid w:val="008D6124"/>
    <w:rsid w:val="008D62DF"/>
    <w:rsid w:val="008D67C7"/>
    <w:rsid w:val="008D7183"/>
    <w:rsid w:val="008D7C78"/>
    <w:rsid w:val="008D7F41"/>
    <w:rsid w:val="008E001E"/>
    <w:rsid w:val="008E056A"/>
    <w:rsid w:val="008E06AE"/>
    <w:rsid w:val="008E0FA2"/>
    <w:rsid w:val="008E2293"/>
    <w:rsid w:val="008E2751"/>
    <w:rsid w:val="008E27C5"/>
    <w:rsid w:val="008E27DB"/>
    <w:rsid w:val="008E2962"/>
    <w:rsid w:val="008E29AA"/>
    <w:rsid w:val="008E31DB"/>
    <w:rsid w:val="008E3AFA"/>
    <w:rsid w:val="008E3BF4"/>
    <w:rsid w:val="008E4076"/>
    <w:rsid w:val="008E4422"/>
    <w:rsid w:val="008E45CB"/>
    <w:rsid w:val="008E483E"/>
    <w:rsid w:val="008E4A0E"/>
    <w:rsid w:val="008E56F9"/>
    <w:rsid w:val="008E5841"/>
    <w:rsid w:val="008E5B7F"/>
    <w:rsid w:val="008E602F"/>
    <w:rsid w:val="008E61DC"/>
    <w:rsid w:val="008E61F7"/>
    <w:rsid w:val="008E7073"/>
    <w:rsid w:val="008E70CC"/>
    <w:rsid w:val="008E74B9"/>
    <w:rsid w:val="008E78EA"/>
    <w:rsid w:val="008F0374"/>
    <w:rsid w:val="008F0529"/>
    <w:rsid w:val="008F07CD"/>
    <w:rsid w:val="008F0C42"/>
    <w:rsid w:val="008F0D86"/>
    <w:rsid w:val="008F0F03"/>
    <w:rsid w:val="008F1560"/>
    <w:rsid w:val="008F17FA"/>
    <w:rsid w:val="008F1CB5"/>
    <w:rsid w:val="008F223F"/>
    <w:rsid w:val="008F276C"/>
    <w:rsid w:val="008F297B"/>
    <w:rsid w:val="008F29E8"/>
    <w:rsid w:val="008F338F"/>
    <w:rsid w:val="008F401F"/>
    <w:rsid w:val="008F48A6"/>
    <w:rsid w:val="008F4E18"/>
    <w:rsid w:val="008F4F63"/>
    <w:rsid w:val="008F5276"/>
    <w:rsid w:val="008F57EE"/>
    <w:rsid w:val="008F6B5F"/>
    <w:rsid w:val="008F6C42"/>
    <w:rsid w:val="008F772F"/>
    <w:rsid w:val="008F7760"/>
    <w:rsid w:val="008F7BC4"/>
    <w:rsid w:val="008F7C00"/>
    <w:rsid w:val="0090006B"/>
    <w:rsid w:val="00900E18"/>
    <w:rsid w:val="0090117E"/>
    <w:rsid w:val="00901D51"/>
    <w:rsid w:val="0090215A"/>
    <w:rsid w:val="009034C6"/>
    <w:rsid w:val="00903A28"/>
    <w:rsid w:val="00903AA8"/>
    <w:rsid w:val="00903C9C"/>
    <w:rsid w:val="00903D92"/>
    <w:rsid w:val="00903FB5"/>
    <w:rsid w:val="00904429"/>
    <w:rsid w:val="00904E82"/>
    <w:rsid w:val="00905092"/>
    <w:rsid w:val="00905B6B"/>
    <w:rsid w:val="009062BE"/>
    <w:rsid w:val="009063C3"/>
    <w:rsid w:val="00906944"/>
    <w:rsid w:val="0090694A"/>
    <w:rsid w:val="009076C6"/>
    <w:rsid w:val="009078FC"/>
    <w:rsid w:val="00910869"/>
    <w:rsid w:val="00910B20"/>
    <w:rsid w:val="00910B2B"/>
    <w:rsid w:val="00910C9F"/>
    <w:rsid w:val="009111EB"/>
    <w:rsid w:val="009117B2"/>
    <w:rsid w:val="00911A47"/>
    <w:rsid w:val="0091250A"/>
    <w:rsid w:val="00912B3F"/>
    <w:rsid w:val="00912E91"/>
    <w:rsid w:val="009133EA"/>
    <w:rsid w:val="00913431"/>
    <w:rsid w:val="00913559"/>
    <w:rsid w:val="009135D6"/>
    <w:rsid w:val="00913B7E"/>
    <w:rsid w:val="009149DF"/>
    <w:rsid w:val="0091501F"/>
    <w:rsid w:val="0091511B"/>
    <w:rsid w:val="0091553A"/>
    <w:rsid w:val="00916561"/>
    <w:rsid w:val="00916D28"/>
    <w:rsid w:val="00917027"/>
    <w:rsid w:val="00917070"/>
    <w:rsid w:val="0091736E"/>
    <w:rsid w:val="009175A3"/>
    <w:rsid w:val="00917901"/>
    <w:rsid w:val="00917B02"/>
    <w:rsid w:val="00917C5C"/>
    <w:rsid w:val="0092033A"/>
    <w:rsid w:val="00920C04"/>
    <w:rsid w:val="00920CE7"/>
    <w:rsid w:val="00921FB7"/>
    <w:rsid w:val="0092228F"/>
    <w:rsid w:val="00922816"/>
    <w:rsid w:val="0092293D"/>
    <w:rsid w:val="00922D14"/>
    <w:rsid w:val="00923488"/>
    <w:rsid w:val="00923B51"/>
    <w:rsid w:val="00923D5A"/>
    <w:rsid w:val="00923DA7"/>
    <w:rsid w:val="00923E0C"/>
    <w:rsid w:val="0092407F"/>
    <w:rsid w:val="00924290"/>
    <w:rsid w:val="0092491F"/>
    <w:rsid w:val="00924C57"/>
    <w:rsid w:val="00925023"/>
    <w:rsid w:val="0092515F"/>
    <w:rsid w:val="009252D3"/>
    <w:rsid w:val="0092571D"/>
    <w:rsid w:val="009259BA"/>
    <w:rsid w:val="00925C3E"/>
    <w:rsid w:val="00925E7F"/>
    <w:rsid w:val="00927449"/>
    <w:rsid w:val="009275DC"/>
    <w:rsid w:val="0092793E"/>
    <w:rsid w:val="00930034"/>
    <w:rsid w:val="00930332"/>
    <w:rsid w:val="009303B4"/>
    <w:rsid w:val="00930B3D"/>
    <w:rsid w:val="009312F8"/>
    <w:rsid w:val="009314F1"/>
    <w:rsid w:val="00931D04"/>
    <w:rsid w:val="00931D3E"/>
    <w:rsid w:val="00931F7D"/>
    <w:rsid w:val="00932352"/>
    <w:rsid w:val="0093279B"/>
    <w:rsid w:val="00932901"/>
    <w:rsid w:val="00932DAC"/>
    <w:rsid w:val="009336AB"/>
    <w:rsid w:val="00933716"/>
    <w:rsid w:val="00933B20"/>
    <w:rsid w:val="0093442A"/>
    <w:rsid w:val="009347C4"/>
    <w:rsid w:val="00935BDA"/>
    <w:rsid w:val="00936D12"/>
    <w:rsid w:val="00937E88"/>
    <w:rsid w:val="00937F7E"/>
    <w:rsid w:val="00941ED0"/>
    <w:rsid w:val="00942149"/>
    <w:rsid w:val="009421C4"/>
    <w:rsid w:val="009421FB"/>
    <w:rsid w:val="00942B44"/>
    <w:rsid w:val="0094317E"/>
    <w:rsid w:val="0094372F"/>
    <w:rsid w:val="00943DE6"/>
    <w:rsid w:val="00943FC2"/>
    <w:rsid w:val="00944641"/>
    <w:rsid w:val="00944AB5"/>
    <w:rsid w:val="009458D3"/>
    <w:rsid w:val="00945B41"/>
    <w:rsid w:val="00946ADF"/>
    <w:rsid w:val="0095006D"/>
    <w:rsid w:val="00950312"/>
    <w:rsid w:val="00950626"/>
    <w:rsid w:val="00950BA5"/>
    <w:rsid w:val="00951453"/>
    <w:rsid w:val="00952134"/>
    <w:rsid w:val="0095237B"/>
    <w:rsid w:val="00952968"/>
    <w:rsid w:val="00952DC6"/>
    <w:rsid w:val="00953B52"/>
    <w:rsid w:val="00954035"/>
    <w:rsid w:val="0095416F"/>
    <w:rsid w:val="0095449F"/>
    <w:rsid w:val="00954607"/>
    <w:rsid w:val="009551BD"/>
    <w:rsid w:val="0095538F"/>
    <w:rsid w:val="00955659"/>
    <w:rsid w:val="00955AF6"/>
    <w:rsid w:val="009564A7"/>
    <w:rsid w:val="009568F0"/>
    <w:rsid w:val="00956A60"/>
    <w:rsid w:val="00956C79"/>
    <w:rsid w:val="009570DC"/>
    <w:rsid w:val="00957397"/>
    <w:rsid w:val="00957A0B"/>
    <w:rsid w:val="00957B4D"/>
    <w:rsid w:val="00957EC3"/>
    <w:rsid w:val="00960175"/>
    <w:rsid w:val="00960545"/>
    <w:rsid w:val="0096070E"/>
    <w:rsid w:val="00960F3C"/>
    <w:rsid w:val="00961634"/>
    <w:rsid w:val="00961850"/>
    <w:rsid w:val="00961953"/>
    <w:rsid w:val="009619B1"/>
    <w:rsid w:val="00961C06"/>
    <w:rsid w:val="009621D7"/>
    <w:rsid w:val="00962437"/>
    <w:rsid w:val="0096265D"/>
    <w:rsid w:val="009626E3"/>
    <w:rsid w:val="009627BC"/>
    <w:rsid w:val="00962A25"/>
    <w:rsid w:val="00962B0A"/>
    <w:rsid w:val="0096354A"/>
    <w:rsid w:val="00963A8B"/>
    <w:rsid w:val="00963EB5"/>
    <w:rsid w:val="009653D6"/>
    <w:rsid w:val="009654D5"/>
    <w:rsid w:val="0096575E"/>
    <w:rsid w:val="00966104"/>
    <w:rsid w:val="009661B5"/>
    <w:rsid w:val="009663E7"/>
    <w:rsid w:val="009663FB"/>
    <w:rsid w:val="009666A7"/>
    <w:rsid w:val="00966F22"/>
    <w:rsid w:val="009673A4"/>
    <w:rsid w:val="009673C7"/>
    <w:rsid w:val="0097048D"/>
    <w:rsid w:val="00971D2B"/>
    <w:rsid w:val="00971EBE"/>
    <w:rsid w:val="009722AD"/>
    <w:rsid w:val="00972718"/>
    <w:rsid w:val="0097292C"/>
    <w:rsid w:val="00972ACD"/>
    <w:rsid w:val="00973029"/>
    <w:rsid w:val="009735A4"/>
    <w:rsid w:val="009735AF"/>
    <w:rsid w:val="00973A2F"/>
    <w:rsid w:val="00973C43"/>
    <w:rsid w:val="00973E7F"/>
    <w:rsid w:val="00974626"/>
    <w:rsid w:val="00974A21"/>
    <w:rsid w:val="00974B8B"/>
    <w:rsid w:val="00974D15"/>
    <w:rsid w:val="00976100"/>
    <w:rsid w:val="009765E6"/>
    <w:rsid w:val="009767D1"/>
    <w:rsid w:val="00976DCC"/>
    <w:rsid w:val="0097753A"/>
    <w:rsid w:val="0097758E"/>
    <w:rsid w:val="00977987"/>
    <w:rsid w:val="00977BE7"/>
    <w:rsid w:val="00977E3C"/>
    <w:rsid w:val="0098068B"/>
    <w:rsid w:val="00981A5A"/>
    <w:rsid w:val="00981ABE"/>
    <w:rsid w:val="00981FCE"/>
    <w:rsid w:val="009821C9"/>
    <w:rsid w:val="00982217"/>
    <w:rsid w:val="00982625"/>
    <w:rsid w:val="00982755"/>
    <w:rsid w:val="009833BD"/>
    <w:rsid w:val="009833D8"/>
    <w:rsid w:val="009837B2"/>
    <w:rsid w:val="00984757"/>
    <w:rsid w:val="0098483B"/>
    <w:rsid w:val="009849C2"/>
    <w:rsid w:val="00984A5F"/>
    <w:rsid w:val="00984ECC"/>
    <w:rsid w:val="00984ED7"/>
    <w:rsid w:val="00985327"/>
    <w:rsid w:val="009853DD"/>
    <w:rsid w:val="00985412"/>
    <w:rsid w:val="00985750"/>
    <w:rsid w:val="00985B25"/>
    <w:rsid w:val="00985BA1"/>
    <w:rsid w:val="00985D4E"/>
    <w:rsid w:val="00985D7C"/>
    <w:rsid w:val="00987336"/>
    <w:rsid w:val="0099099C"/>
    <w:rsid w:val="00990D47"/>
    <w:rsid w:val="00991064"/>
    <w:rsid w:val="0099162B"/>
    <w:rsid w:val="00991698"/>
    <w:rsid w:val="00991919"/>
    <w:rsid w:val="00991A4B"/>
    <w:rsid w:val="00991E2D"/>
    <w:rsid w:val="00992333"/>
    <w:rsid w:val="009928A8"/>
    <w:rsid w:val="00993EB5"/>
    <w:rsid w:val="00994D5B"/>
    <w:rsid w:val="00994DA0"/>
    <w:rsid w:val="00994EE7"/>
    <w:rsid w:val="0099583D"/>
    <w:rsid w:val="00996091"/>
    <w:rsid w:val="009964BB"/>
    <w:rsid w:val="00996772"/>
    <w:rsid w:val="00996796"/>
    <w:rsid w:val="00996BD9"/>
    <w:rsid w:val="0099702B"/>
    <w:rsid w:val="00997543"/>
    <w:rsid w:val="009975B6"/>
    <w:rsid w:val="009A0230"/>
    <w:rsid w:val="009A0875"/>
    <w:rsid w:val="009A135F"/>
    <w:rsid w:val="009A1471"/>
    <w:rsid w:val="009A16D2"/>
    <w:rsid w:val="009A1C51"/>
    <w:rsid w:val="009A1C94"/>
    <w:rsid w:val="009A2AA7"/>
    <w:rsid w:val="009A2F32"/>
    <w:rsid w:val="009A3432"/>
    <w:rsid w:val="009A3A58"/>
    <w:rsid w:val="009A43F3"/>
    <w:rsid w:val="009A44F4"/>
    <w:rsid w:val="009A46BF"/>
    <w:rsid w:val="009A485C"/>
    <w:rsid w:val="009A4FAE"/>
    <w:rsid w:val="009A56EF"/>
    <w:rsid w:val="009A5E72"/>
    <w:rsid w:val="009A64A5"/>
    <w:rsid w:val="009A707D"/>
    <w:rsid w:val="009A7505"/>
    <w:rsid w:val="009A7982"/>
    <w:rsid w:val="009A798A"/>
    <w:rsid w:val="009B072A"/>
    <w:rsid w:val="009B09C5"/>
    <w:rsid w:val="009B0A7F"/>
    <w:rsid w:val="009B0FEE"/>
    <w:rsid w:val="009B1989"/>
    <w:rsid w:val="009B1A66"/>
    <w:rsid w:val="009B1ABE"/>
    <w:rsid w:val="009B207F"/>
    <w:rsid w:val="009B2C54"/>
    <w:rsid w:val="009B3C16"/>
    <w:rsid w:val="009B3C6E"/>
    <w:rsid w:val="009B4266"/>
    <w:rsid w:val="009B448E"/>
    <w:rsid w:val="009B479E"/>
    <w:rsid w:val="009B4CA5"/>
    <w:rsid w:val="009B4D61"/>
    <w:rsid w:val="009B4E42"/>
    <w:rsid w:val="009B5789"/>
    <w:rsid w:val="009B61AF"/>
    <w:rsid w:val="009B6849"/>
    <w:rsid w:val="009B770F"/>
    <w:rsid w:val="009B7E27"/>
    <w:rsid w:val="009B7E4A"/>
    <w:rsid w:val="009C02E6"/>
    <w:rsid w:val="009C0BBC"/>
    <w:rsid w:val="009C0D7C"/>
    <w:rsid w:val="009C15AC"/>
    <w:rsid w:val="009C1F54"/>
    <w:rsid w:val="009C21BA"/>
    <w:rsid w:val="009C21BF"/>
    <w:rsid w:val="009C234A"/>
    <w:rsid w:val="009C2556"/>
    <w:rsid w:val="009C2911"/>
    <w:rsid w:val="009C2B41"/>
    <w:rsid w:val="009C2E5D"/>
    <w:rsid w:val="009C34AF"/>
    <w:rsid w:val="009C36EC"/>
    <w:rsid w:val="009C39CA"/>
    <w:rsid w:val="009C39D7"/>
    <w:rsid w:val="009C3CE0"/>
    <w:rsid w:val="009C4D21"/>
    <w:rsid w:val="009C51A4"/>
    <w:rsid w:val="009C551F"/>
    <w:rsid w:val="009C5C71"/>
    <w:rsid w:val="009C602B"/>
    <w:rsid w:val="009C62CC"/>
    <w:rsid w:val="009C64F6"/>
    <w:rsid w:val="009C66EC"/>
    <w:rsid w:val="009C6E5F"/>
    <w:rsid w:val="009C745B"/>
    <w:rsid w:val="009C793F"/>
    <w:rsid w:val="009C7BF0"/>
    <w:rsid w:val="009D034E"/>
    <w:rsid w:val="009D0485"/>
    <w:rsid w:val="009D0C34"/>
    <w:rsid w:val="009D139A"/>
    <w:rsid w:val="009D164B"/>
    <w:rsid w:val="009D171F"/>
    <w:rsid w:val="009D176B"/>
    <w:rsid w:val="009D1B23"/>
    <w:rsid w:val="009D2CD7"/>
    <w:rsid w:val="009D3B03"/>
    <w:rsid w:val="009D4ABE"/>
    <w:rsid w:val="009D5495"/>
    <w:rsid w:val="009D570D"/>
    <w:rsid w:val="009D58C3"/>
    <w:rsid w:val="009D5B5C"/>
    <w:rsid w:val="009D5E49"/>
    <w:rsid w:val="009D67BA"/>
    <w:rsid w:val="009D6E49"/>
    <w:rsid w:val="009D7455"/>
    <w:rsid w:val="009D769A"/>
    <w:rsid w:val="009D7C2E"/>
    <w:rsid w:val="009D7F16"/>
    <w:rsid w:val="009E02F5"/>
    <w:rsid w:val="009E062B"/>
    <w:rsid w:val="009E064C"/>
    <w:rsid w:val="009E0C27"/>
    <w:rsid w:val="009E0D8B"/>
    <w:rsid w:val="009E11E8"/>
    <w:rsid w:val="009E13AC"/>
    <w:rsid w:val="009E13FE"/>
    <w:rsid w:val="009E276E"/>
    <w:rsid w:val="009E33F3"/>
    <w:rsid w:val="009E3BE9"/>
    <w:rsid w:val="009E3D4E"/>
    <w:rsid w:val="009E40AF"/>
    <w:rsid w:val="009E4292"/>
    <w:rsid w:val="009E4C9A"/>
    <w:rsid w:val="009E5177"/>
    <w:rsid w:val="009E5719"/>
    <w:rsid w:val="009E578C"/>
    <w:rsid w:val="009E70E3"/>
    <w:rsid w:val="009E74F4"/>
    <w:rsid w:val="009E7BA0"/>
    <w:rsid w:val="009F000B"/>
    <w:rsid w:val="009F0A13"/>
    <w:rsid w:val="009F21FF"/>
    <w:rsid w:val="009F28C3"/>
    <w:rsid w:val="009F28DC"/>
    <w:rsid w:val="009F3185"/>
    <w:rsid w:val="009F37E1"/>
    <w:rsid w:val="009F3914"/>
    <w:rsid w:val="009F3A26"/>
    <w:rsid w:val="009F3BDF"/>
    <w:rsid w:val="009F42CC"/>
    <w:rsid w:val="009F4435"/>
    <w:rsid w:val="009F443F"/>
    <w:rsid w:val="009F4812"/>
    <w:rsid w:val="009F4863"/>
    <w:rsid w:val="009F490D"/>
    <w:rsid w:val="009F4B9F"/>
    <w:rsid w:val="009F516C"/>
    <w:rsid w:val="009F544F"/>
    <w:rsid w:val="009F55B9"/>
    <w:rsid w:val="009F58CC"/>
    <w:rsid w:val="009F58CE"/>
    <w:rsid w:val="009F65E2"/>
    <w:rsid w:val="009F7009"/>
    <w:rsid w:val="009F70A9"/>
    <w:rsid w:val="009F7B59"/>
    <w:rsid w:val="00A0009F"/>
    <w:rsid w:val="00A009DA"/>
    <w:rsid w:val="00A00DC9"/>
    <w:rsid w:val="00A00E9C"/>
    <w:rsid w:val="00A01053"/>
    <w:rsid w:val="00A015DC"/>
    <w:rsid w:val="00A020E2"/>
    <w:rsid w:val="00A03A87"/>
    <w:rsid w:val="00A044F3"/>
    <w:rsid w:val="00A04C02"/>
    <w:rsid w:val="00A05227"/>
    <w:rsid w:val="00A058E2"/>
    <w:rsid w:val="00A05973"/>
    <w:rsid w:val="00A05A0B"/>
    <w:rsid w:val="00A05AC4"/>
    <w:rsid w:val="00A062CA"/>
    <w:rsid w:val="00A06980"/>
    <w:rsid w:val="00A07E26"/>
    <w:rsid w:val="00A10933"/>
    <w:rsid w:val="00A10A68"/>
    <w:rsid w:val="00A1137A"/>
    <w:rsid w:val="00A11782"/>
    <w:rsid w:val="00A11B16"/>
    <w:rsid w:val="00A12F39"/>
    <w:rsid w:val="00A1338E"/>
    <w:rsid w:val="00A143C7"/>
    <w:rsid w:val="00A14CA7"/>
    <w:rsid w:val="00A14FF8"/>
    <w:rsid w:val="00A154AE"/>
    <w:rsid w:val="00A155EF"/>
    <w:rsid w:val="00A15AEB"/>
    <w:rsid w:val="00A15D9F"/>
    <w:rsid w:val="00A16164"/>
    <w:rsid w:val="00A162E9"/>
    <w:rsid w:val="00A16743"/>
    <w:rsid w:val="00A16C16"/>
    <w:rsid w:val="00A1710C"/>
    <w:rsid w:val="00A17A67"/>
    <w:rsid w:val="00A20023"/>
    <w:rsid w:val="00A20124"/>
    <w:rsid w:val="00A20578"/>
    <w:rsid w:val="00A21526"/>
    <w:rsid w:val="00A217D7"/>
    <w:rsid w:val="00A21A89"/>
    <w:rsid w:val="00A21CA6"/>
    <w:rsid w:val="00A22443"/>
    <w:rsid w:val="00A22755"/>
    <w:rsid w:val="00A22C8F"/>
    <w:rsid w:val="00A23748"/>
    <w:rsid w:val="00A23D88"/>
    <w:rsid w:val="00A23EE2"/>
    <w:rsid w:val="00A24023"/>
    <w:rsid w:val="00A2423A"/>
    <w:rsid w:val="00A246C5"/>
    <w:rsid w:val="00A24D25"/>
    <w:rsid w:val="00A24EC4"/>
    <w:rsid w:val="00A24F2D"/>
    <w:rsid w:val="00A24F40"/>
    <w:rsid w:val="00A25186"/>
    <w:rsid w:val="00A25296"/>
    <w:rsid w:val="00A256C8"/>
    <w:rsid w:val="00A258F4"/>
    <w:rsid w:val="00A25B96"/>
    <w:rsid w:val="00A26212"/>
    <w:rsid w:val="00A26661"/>
    <w:rsid w:val="00A266F7"/>
    <w:rsid w:val="00A26982"/>
    <w:rsid w:val="00A26EF6"/>
    <w:rsid w:val="00A27335"/>
    <w:rsid w:val="00A27F00"/>
    <w:rsid w:val="00A30009"/>
    <w:rsid w:val="00A30013"/>
    <w:rsid w:val="00A32B7B"/>
    <w:rsid w:val="00A32D99"/>
    <w:rsid w:val="00A32F6B"/>
    <w:rsid w:val="00A33833"/>
    <w:rsid w:val="00A33D92"/>
    <w:rsid w:val="00A346C2"/>
    <w:rsid w:val="00A34F85"/>
    <w:rsid w:val="00A3563A"/>
    <w:rsid w:val="00A366A0"/>
    <w:rsid w:val="00A36745"/>
    <w:rsid w:val="00A3697B"/>
    <w:rsid w:val="00A36BCE"/>
    <w:rsid w:val="00A36C30"/>
    <w:rsid w:val="00A37419"/>
    <w:rsid w:val="00A37985"/>
    <w:rsid w:val="00A37DC2"/>
    <w:rsid w:val="00A401FB"/>
    <w:rsid w:val="00A40405"/>
    <w:rsid w:val="00A40DB2"/>
    <w:rsid w:val="00A41014"/>
    <w:rsid w:val="00A41071"/>
    <w:rsid w:val="00A42490"/>
    <w:rsid w:val="00A42F0A"/>
    <w:rsid w:val="00A42FD2"/>
    <w:rsid w:val="00A43CC4"/>
    <w:rsid w:val="00A43D44"/>
    <w:rsid w:val="00A4406D"/>
    <w:rsid w:val="00A447E1"/>
    <w:rsid w:val="00A44908"/>
    <w:rsid w:val="00A44C9C"/>
    <w:rsid w:val="00A44F6E"/>
    <w:rsid w:val="00A45DB5"/>
    <w:rsid w:val="00A46F0B"/>
    <w:rsid w:val="00A46FAA"/>
    <w:rsid w:val="00A477E7"/>
    <w:rsid w:val="00A479DB"/>
    <w:rsid w:val="00A50B80"/>
    <w:rsid w:val="00A50BF6"/>
    <w:rsid w:val="00A50E61"/>
    <w:rsid w:val="00A51947"/>
    <w:rsid w:val="00A519FB"/>
    <w:rsid w:val="00A52540"/>
    <w:rsid w:val="00A525B6"/>
    <w:rsid w:val="00A52F77"/>
    <w:rsid w:val="00A533AF"/>
    <w:rsid w:val="00A53418"/>
    <w:rsid w:val="00A53988"/>
    <w:rsid w:val="00A54245"/>
    <w:rsid w:val="00A54494"/>
    <w:rsid w:val="00A54701"/>
    <w:rsid w:val="00A5481C"/>
    <w:rsid w:val="00A54E1F"/>
    <w:rsid w:val="00A552FE"/>
    <w:rsid w:val="00A5604A"/>
    <w:rsid w:val="00A56114"/>
    <w:rsid w:val="00A57650"/>
    <w:rsid w:val="00A607B9"/>
    <w:rsid w:val="00A60806"/>
    <w:rsid w:val="00A6081A"/>
    <w:rsid w:val="00A61360"/>
    <w:rsid w:val="00A617A1"/>
    <w:rsid w:val="00A61FE2"/>
    <w:rsid w:val="00A6370E"/>
    <w:rsid w:val="00A63933"/>
    <w:rsid w:val="00A6402B"/>
    <w:rsid w:val="00A6412B"/>
    <w:rsid w:val="00A64A36"/>
    <w:rsid w:val="00A65009"/>
    <w:rsid w:val="00A6565E"/>
    <w:rsid w:val="00A663C5"/>
    <w:rsid w:val="00A66D54"/>
    <w:rsid w:val="00A67385"/>
    <w:rsid w:val="00A67D41"/>
    <w:rsid w:val="00A67E6E"/>
    <w:rsid w:val="00A707D0"/>
    <w:rsid w:val="00A711BC"/>
    <w:rsid w:val="00A718B4"/>
    <w:rsid w:val="00A72519"/>
    <w:rsid w:val="00A72706"/>
    <w:rsid w:val="00A72A6A"/>
    <w:rsid w:val="00A72A8F"/>
    <w:rsid w:val="00A72C92"/>
    <w:rsid w:val="00A73281"/>
    <w:rsid w:val="00A733F0"/>
    <w:rsid w:val="00A73B21"/>
    <w:rsid w:val="00A74565"/>
    <w:rsid w:val="00A74DA4"/>
    <w:rsid w:val="00A75602"/>
    <w:rsid w:val="00A759F1"/>
    <w:rsid w:val="00A75A8C"/>
    <w:rsid w:val="00A75DE3"/>
    <w:rsid w:val="00A75EEE"/>
    <w:rsid w:val="00A76726"/>
    <w:rsid w:val="00A775F0"/>
    <w:rsid w:val="00A80087"/>
    <w:rsid w:val="00A80914"/>
    <w:rsid w:val="00A80CA8"/>
    <w:rsid w:val="00A81674"/>
    <w:rsid w:val="00A81A50"/>
    <w:rsid w:val="00A81B28"/>
    <w:rsid w:val="00A81E8E"/>
    <w:rsid w:val="00A820CA"/>
    <w:rsid w:val="00A82491"/>
    <w:rsid w:val="00A82646"/>
    <w:rsid w:val="00A82B9E"/>
    <w:rsid w:val="00A831CB"/>
    <w:rsid w:val="00A842DF"/>
    <w:rsid w:val="00A84E2D"/>
    <w:rsid w:val="00A84F34"/>
    <w:rsid w:val="00A852CE"/>
    <w:rsid w:val="00A85340"/>
    <w:rsid w:val="00A8599D"/>
    <w:rsid w:val="00A85A51"/>
    <w:rsid w:val="00A86244"/>
    <w:rsid w:val="00A86397"/>
    <w:rsid w:val="00A86458"/>
    <w:rsid w:val="00A8686F"/>
    <w:rsid w:val="00A86B20"/>
    <w:rsid w:val="00A870D0"/>
    <w:rsid w:val="00A874D9"/>
    <w:rsid w:val="00A879A6"/>
    <w:rsid w:val="00A87FAA"/>
    <w:rsid w:val="00A90422"/>
    <w:rsid w:val="00A9065D"/>
    <w:rsid w:val="00A90E47"/>
    <w:rsid w:val="00A90E58"/>
    <w:rsid w:val="00A90EB0"/>
    <w:rsid w:val="00A90ED3"/>
    <w:rsid w:val="00A91320"/>
    <w:rsid w:val="00A91631"/>
    <w:rsid w:val="00A921BB"/>
    <w:rsid w:val="00A92211"/>
    <w:rsid w:val="00A93B68"/>
    <w:rsid w:val="00A93CCA"/>
    <w:rsid w:val="00A9440E"/>
    <w:rsid w:val="00A945E5"/>
    <w:rsid w:val="00A959D5"/>
    <w:rsid w:val="00A96689"/>
    <w:rsid w:val="00A9673E"/>
    <w:rsid w:val="00A96E39"/>
    <w:rsid w:val="00A96E6A"/>
    <w:rsid w:val="00A97A0B"/>
    <w:rsid w:val="00AA0157"/>
    <w:rsid w:val="00AA0229"/>
    <w:rsid w:val="00AA03C7"/>
    <w:rsid w:val="00AA086B"/>
    <w:rsid w:val="00AA0C2E"/>
    <w:rsid w:val="00AA0E49"/>
    <w:rsid w:val="00AA100E"/>
    <w:rsid w:val="00AA11CC"/>
    <w:rsid w:val="00AA1C1F"/>
    <w:rsid w:val="00AA1FB8"/>
    <w:rsid w:val="00AA202D"/>
    <w:rsid w:val="00AA32B8"/>
    <w:rsid w:val="00AA3B45"/>
    <w:rsid w:val="00AA3D14"/>
    <w:rsid w:val="00AA451C"/>
    <w:rsid w:val="00AA50E7"/>
    <w:rsid w:val="00AA56EE"/>
    <w:rsid w:val="00AA5C09"/>
    <w:rsid w:val="00AA60CE"/>
    <w:rsid w:val="00AA7012"/>
    <w:rsid w:val="00AA7320"/>
    <w:rsid w:val="00AA7798"/>
    <w:rsid w:val="00AB01D3"/>
    <w:rsid w:val="00AB1204"/>
    <w:rsid w:val="00AB13A0"/>
    <w:rsid w:val="00AB1865"/>
    <w:rsid w:val="00AB1EBE"/>
    <w:rsid w:val="00AB1ED5"/>
    <w:rsid w:val="00AB1FEF"/>
    <w:rsid w:val="00AB20DE"/>
    <w:rsid w:val="00AB2461"/>
    <w:rsid w:val="00AB346D"/>
    <w:rsid w:val="00AB3D2E"/>
    <w:rsid w:val="00AB44BD"/>
    <w:rsid w:val="00AB4B81"/>
    <w:rsid w:val="00AB507B"/>
    <w:rsid w:val="00AB52B2"/>
    <w:rsid w:val="00AB592F"/>
    <w:rsid w:val="00AB5B58"/>
    <w:rsid w:val="00AB5BA7"/>
    <w:rsid w:val="00AB5E67"/>
    <w:rsid w:val="00AB5FE9"/>
    <w:rsid w:val="00AB615F"/>
    <w:rsid w:val="00AB633D"/>
    <w:rsid w:val="00AB6409"/>
    <w:rsid w:val="00AB643E"/>
    <w:rsid w:val="00AB69AA"/>
    <w:rsid w:val="00AB738D"/>
    <w:rsid w:val="00AB7BA2"/>
    <w:rsid w:val="00AB7BC7"/>
    <w:rsid w:val="00AB7E78"/>
    <w:rsid w:val="00AC0121"/>
    <w:rsid w:val="00AC01BC"/>
    <w:rsid w:val="00AC1506"/>
    <w:rsid w:val="00AC1600"/>
    <w:rsid w:val="00AC21E4"/>
    <w:rsid w:val="00AC251C"/>
    <w:rsid w:val="00AC2639"/>
    <w:rsid w:val="00AC264F"/>
    <w:rsid w:val="00AC2EA5"/>
    <w:rsid w:val="00AC3849"/>
    <w:rsid w:val="00AC39A5"/>
    <w:rsid w:val="00AC3C92"/>
    <w:rsid w:val="00AC3D3F"/>
    <w:rsid w:val="00AC45C7"/>
    <w:rsid w:val="00AC4841"/>
    <w:rsid w:val="00AC4B9A"/>
    <w:rsid w:val="00AC5874"/>
    <w:rsid w:val="00AC644D"/>
    <w:rsid w:val="00AC6899"/>
    <w:rsid w:val="00AC6B37"/>
    <w:rsid w:val="00AC6DE0"/>
    <w:rsid w:val="00AC6E57"/>
    <w:rsid w:val="00AC770F"/>
    <w:rsid w:val="00AC7FAB"/>
    <w:rsid w:val="00AD0082"/>
    <w:rsid w:val="00AD067F"/>
    <w:rsid w:val="00AD0744"/>
    <w:rsid w:val="00AD0810"/>
    <w:rsid w:val="00AD0C8D"/>
    <w:rsid w:val="00AD0F27"/>
    <w:rsid w:val="00AD0F35"/>
    <w:rsid w:val="00AD1C48"/>
    <w:rsid w:val="00AD2383"/>
    <w:rsid w:val="00AD33D4"/>
    <w:rsid w:val="00AD37E5"/>
    <w:rsid w:val="00AD458F"/>
    <w:rsid w:val="00AD4719"/>
    <w:rsid w:val="00AD4A33"/>
    <w:rsid w:val="00AD4CB1"/>
    <w:rsid w:val="00AD4D6D"/>
    <w:rsid w:val="00AD543B"/>
    <w:rsid w:val="00AD56C2"/>
    <w:rsid w:val="00AD5782"/>
    <w:rsid w:val="00AD5BB4"/>
    <w:rsid w:val="00AD5BDA"/>
    <w:rsid w:val="00AD6572"/>
    <w:rsid w:val="00AD695C"/>
    <w:rsid w:val="00AD6E9A"/>
    <w:rsid w:val="00AD6F7E"/>
    <w:rsid w:val="00AD7B47"/>
    <w:rsid w:val="00AE00A2"/>
    <w:rsid w:val="00AE01B4"/>
    <w:rsid w:val="00AE2F2F"/>
    <w:rsid w:val="00AE315C"/>
    <w:rsid w:val="00AE317C"/>
    <w:rsid w:val="00AE37AD"/>
    <w:rsid w:val="00AE3BB3"/>
    <w:rsid w:val="00AE440E"/>
    <w:rsid w:val="00AE49D5"/>
    <w:rsid w:val="00AE4C2A"/>
    <w:rsid w:val="00AE62F4"/>
    <w:rsid w:val="00AE6502"/>
    <w:rsid w:val="00AE6569"/>
    <w:rsid w:val="00AE65C5"/>
    <w:rsid w:val="00AE6F9D"/>
    <w:rsid w:val="00AE6FB2"/>
    <w:rsid w:val="00AF0AF4"/>
    <w:rsid w:val="00AF0F86"/>
    <w:rsid w:val="00AF1052"/>
    <w:rsid w:val="00AF19F3"/>
    <w:rsid w:val="00AF1F85"/>
    <w:rsid w:val="00AF231A"/>
    <w:rsid w:val="00AF2546"/>
    <w:rsid w:val="00AF2B4E"/>
    <w:rsid w:val="00AF35F4"/>
    <w:rsid w:val="00AF4618"/>
    <w:rsid w:val="00AF4AE7"/>
    <w:rsid w:val="00AF4F3E"/>
    <w:rsid w:val="00AF52B1"/>
    <w:rsid w:val="00AF65D0"/>
    <w:rsid w:val="00AF6693"/>
    <w:rsid w:val="00AF685C"/>
    <w:rsid w:val="00AF70E9"/>
    <w:rsid w:val="00AF72E5"/>
    <w:rsid w:val="00AF73A2"/>
    <w:rsid w:val="00AF75E5"/>
    <w:rsid w:val="00AF7CC4"/>
    <w:rsid w:val="00B007DB"/>
    <w:rsid w:val="00B00DF5"/>
    <w:rsid w:val="00B00F63"/>
    <w:rsid w:val="00B01C6B"/>
    <w:rsid w:val="00B022AF"/>
    <w:rsid w:val="00B033D0"/>
    <w:rsid w:val="00B03AE5"/>
    <w:rsid w:val="00B03E0B"/>
    <w:rsid w:val="00B045A9"/>
    <w:rsid w:val="00B045D6"/>
    <w:rsid w:val="00B054C6"/>
    <w:rsid w:val="00B0551C"/>
    <w:rsid w:val="00B05EEE"/>
    <w:rsid w:val="00B05F30"/>
    <w:rsid w:val="00B06394"/>
    <w:rsid w:val="00B06A1B"/>
    <w:rsid w:val="00B0755C"/>
    <w:rsid w:val="00B076C5"/>
    <w:rsid w:val="00B07EAE"/>
    <w:rsid w:val="00B1064F"/>
    <w:rsid w:val="00B1077D"/>
    <w:rsid w:val="00B10811"/>
    <w:rsid w:val="00B11423"/>
    <w:rsid w:val="00B11841"/>
    <w:rsid w:val="00B11BD0"/>
    <w:rsid w:val="00B120F9"/>
    <w:rsid w:val="00B12D75"/>
    <w:rsid w:val="00B13E18"/>
    <w:rsid w:val="00B14537"/>
    <w:rsid w:val="00B1471D"/>
    <w:rsid w:val="00B1487F"/>
    <w:rsid w:val="00B15319"/>
    <w:rsid w:val="00B1620D"/>
    <w:rsid w:val="00B17327"/>
    <w:rsid w:val="00B201D3"/>
    <w:rsid w:val="00B203E6"/>
    <w:rsid w:val="00B2049A"/>
    <w:rsid w:val="00B204A5"/>
    <w:rsid w:val="00B20722"/>
    <w:rsid w:val="00B2083B"/>
    <w:rsid w:val="00B20F9F"/>
    <w:rsid w:val="00B21A3A"/>
    <w:rsid w:val="00B21B4C"/>
    <w:rsid w:val="00B21CD4"/>
    <w:rsid w:val="00B21F41"/>
    <w:rsid w:val="00B2217D"/>
    <w:rsid w:val="00B2225A"/>
    <w:rsid w:val="00B23003"/>
    <w:rsid w:val="00B23535"/>
    <w:rsid w:val="00B2395D"/>
    <w:rsid w:val="00B23FF2"/>
    <w:rsid w:val="00B24748"/>
    <w:rsid w:val="00B252E6"/>
    <w:rsid w:val="00B26057"/>
    <w:rsid w:val="00B26076"/>
    <w:rsid w:val="00B2616C"/>
    <w:rsid w:val="00B26189"/>
    <w:rsid w:val="00B26275"/>
    <w:rsid w:val="00B26763"/>
    <w:rsid w:val="00B2756A"/>
    <w:rsid w:val="00B275C8"/>
    <w:rsid w:val="00B27640"/>
    <w:rsid w:val="00B27BC7"/>
    <w:rsid w:val="00B30207"/>
    <w:rsid w:val="00B304F3"/>
    <w:rsid w:val="00B3093D"/>
    <w:rsid w:val="00B30A97"/>
    <w:rsid w:val="00B30B61"/>
    <w:rsid w:val="00B30BE1"/>
    <w:rsid w:val="00B30FA2"/>
    <w:rsid w:val="00B311F7"/>
    <w:rsid w:val="00B31327"/>
    <w:rsid w:val="00B31A53"/>
    <w:rsid w:val="00B32148"/>
    <w:rsid w:val="00B32292"/>
    <w:rsid w:val="00B329E6"/>
    <w:rsid w:val="00B335A3"/>
    <w:rsid w:val="00B33B21"/>
    <w:rsid w:val="00B34982"/>
    <w:rsid w:val="00B354A7"/>
    <w:rsid w:val="00B354FB"/>
    <w:rsid w:val="00B3605C"/>
    <w:rsid w:val="00B3710D"/>
    <w:rsid w:val="00B37FD3"/>
    <w:rsid w:val="00B40FD8"/>
    <w:rsid w:val="00B4230B"/>
    <w:rsid w:val="00B42371"/>
    <w:rsid w:val="00B4274D"/>
    <w:rsid w:val="00B435E7"/>
    <w:rsid w:val="00B4394B"/>
    <w:rsid w:val="00B43CB7"/>
    <w:rsid w:val="00B444E7"/>
    <w:rsid w:val="00B445A4"/>
    <w:rsid w:val="00B4474E"/>
    <w:rsid w:val="00B44835"/>
    <w:rsid w:val="00B456E1"/>
    <w:rsid w:val="00B459F6"/>
    <w:rsid w:val="00B45A0C"/>
    <w:rsid w:val="00B45DB9"/>
    <w:rsid w:val="00B4629B"/>
    <w:rsid w:val="00B46A75"/>
    <w:rsid w:val="00B47047"/>
    <w:rsid w:val="00B47360"/>
    <w:rsid w:val="00B4749A"/>
    <w:rsid w:val="00B474DB"/>
    <w:rsid w:val="00B475B6"/>
    <w:rsid w:val="00B47610"/>
    <w:rsid w:val="00B47FC4"/>
    <w:rsid w:val="00B501FD"/>
    <w:rsid w:val="00B5047C"/>
    <w:rsid w:val="00B50681"/>
    <w:rsid w:val="00B50AF5"/>
    <w:rsid w:val="00B50D09"/>
    <w:rsid w:val="00B50E45"/>
    <w:rsid w:val="00B50FE6"/>
    <w:rsid w:val="00B51371"/>
    <w:rsid w:val="00B5147F"/>
    <w:rsid w:val="00B51DF4"/>
    <w:rsid w:val="00B53789"/>
    <w:rsid w:val="00B539B4"/>
    <w:rsid w:val="00B542CF"/>
    <w:rsid w:val="00B54633"/>
    <w:rsid w:val="00B548D0"/>
    <w:rsid w:val="00B5492C"/>
    <w:rsid w:val="00B554CE"/>
    <w:rsid w:val="00B561F0"/>
    <w:rsid w:val="00B569C3"/>
    <w:rsid w:val="00B569E9"/>
    <w:rsid w:val="00B571C1"/>
    <w:rsid w:val="00B572FE"/>
    <w:rsid w:val="00B57421"/>
    <w:rsid w:val="00B5786B"/>
    <w:rsid w:val="00B57C32"/>
    <w:rsid w:val="00B605B9"/>
    <w:rsid w:val="00B60CC7"/>
    <w:rsid w:val="00B60F4A"/>
    <w:rsid w:val="00B61259"/>
    <w:rsid w:val="00B61400"/>
    <w:rsid w:val="00B616D7"/>
    <w:rsid w:val="00B6190D"/>
    <w:rsid w:val="00B61A9E"/>
    <w:rsid w:val="00B61BC9"/>
    <w:rsid w:val="00B62A28"/>
    <w:rsid w:val="00B62B31"/>
    <w:rsid w:val="00B62C29"/>
    <w:rsid w:val="00B62C35"/>
    <w:rsid w:val="00B639B6"/>
    <w:rsid w:val="00B63ED8"/>
    <w:rsid w:val="00B645A9"/>
    <w:rsid w:val="00B64C68"/>
    <w:rsid w:val="00B6508B"/>
    <w:rsid w:val="00B650EF"/>
    <w:rsid w:val="00B6552C"/>
    <w:rsid w:val="00B65661"/>
    <w:rsid w:val="00B6589C"/>
    <w:rsid w:val="00B65AEC"/>
    <w:rsid w:val="00B65D72"/>
    <w:rsid w:val="00B65F5E"/>
    <w:rsid w:val="00B66490"/>
    <w:rsid w:val="00B66BA5"/>
    <w:rsid w:val="00B70774"/>
    <w:rsid w:val="00B70A98"/>
    <w:rsid w:val="00B70B3E"/>
    <w:rsid w:val="00B71D75"/>
    <w:rsid w:val="00B7235D"/>
    <w:rsid w:val="00B73063"/>
    <w:rsid w:val="00B7315B"/>
    <w:rsid w:val="00B73FF2"/>
    <w:rsid w:val="00B7404E"/>
    <w:rsid w:val="00B7503C"/>
    <w:rsid w:val="00B75448"/>
    <w:rsid w:val="00B754A9"/>
    <w:rsid w:val="00B75DDB"/>
    <w:rsid w:val="00B75E04"/>
    <w:rsid w:val="00B761F0"/>
    <w:rsid w:val="00B76273"/>
    <w:rsid w:val="00B77098"/>
    <w:rsid w:val="00B77939"/>
    <w:rsid w:val="00B77BF9"/>
    <w:rsid w:val="00B77F00"/>
    <w:rsid w:val="00B801A1"/>
    <w:rsid w:val="00B801E8"/>
    <w:rsid w:val="00B808CA"/>
    <w:rsid w:val="00B80B05"/>
    <w:rsid w:val="00B80C6F"/>
    <w:rsid w:val="00B80D0E"/>
    <w:rsid w:val="00B80F06"/>
    <w:rsid w:val="00B813BB"/>
    <w:rsid w:val="00B818EB"/>
    <w:rsid w:val="00B81CCA"/>
    <w:rsid w:val="00B81EC5"/>
    <w:rsid w:val="00B82678"/>
    <w:rsid w:val="00B8289F"/>
    <w:rsid w:val="00B836A3"/>
    <w:rsid w:val="00B837DC"/>
    <w:rsid w:val="00B843EB"/>
    <w:rsid w:val="00B844C0"/>
    <w:rsid w:val="00B84B3B"/>
    <w:rsid w:val="00B84B90"/>
    <w:rsid w:val="00B85DD9"/>
    <w:rsid w:val="00B86435"/>
    <w:rsid w:val="00B86715"/>
    <w:rsid w:val="00B86A34"/>
    <w:rsid w:val="00B90098"/>
    <w:rsid w:val="00B90334"/>
    <w:rsid w:val="00B90F3E"/>
    <w:rsid w:val="00B927A9"/>
    <w:rsid w:val="00B92DBE"/>
    <w:rsid w:val="00B930FA"/>
    <w:rsid w:val="00B93890"/>
    <w:rsid w:val="00B93B3C"/>
    <w:rsid w:val="00B9414A"/>
    <w:rsid w:val="00B942CD"/>
    <w:rsid w:val="00B94651"/>
    <w:rsid w:val="00B946D0"/>
    <w:rsid w:val="00B94A7D"/>
    <w:rsid w:val="00B95A4A"/>
    <w:rsid w:val="00B95D11"/>
    <w:rsid w:val="00B96978"/>
    <w:rsid w:val="00B97246"/>
    <w:rsid w:val="00B97FF7"/>
    <w:rsid w:val="00BA06FB"/>
    <w:rsid w:val="00BA08B3"/>
    <w:rsid w:val="00BA0932"/>
    <w:rsid w:val="00BA095F"/>
    <w:rsid w:val="00BA0E58"/>
    <w:rsid w:val="00BA0F9B"/>
    <w:rsid w:val="00BA11AD"/>
    <w:rsid w:val="00BA132E"/>
    <w:rsid w:val="00BA17F5"/>
    <w:rsid w:val="00BA1BA6"/>
    <w:rsid w:val="00BA26D9"/>
    <w:rsid w:val="00BA2B8E"/>
    <w:rsid w:val="00BA39CA"/>
    <w:rsid w:val="00BA3A5B"/>
    <w:rsid w:val="00BA3B1A"/>
    <w:rsid w:val="00BA3C08"/>
    <w:rsid w:val="00BA4D58"/>
    <w:rsid w:val="00BA51FA"/>
    <w:rsid w:val="00BA52A7"/>
    <w:rsid w:val="00BA54F8"/>
    <w:rsid w:val="00BA57FB"/>
    <w:rsid w:val="00BA5CA8"/>
    <w:rsid w:val="00BA6BAC"/>
    <w:rsid w:val="00BA6DC7"/>
    <w:rsid w:val="00BA7217"/>
    <w:rsid w:val="00BA73CD"/>
    <w:rsid w:val="00BA74FA"/>
    <w:rsid w:val="00BA7A2D"/>
    <w:rsid w:val="00BA7E36"/>
    <w:rsid w:val="00BB0B76"/>
    <w:rsid w:val="00BB0EF5"/>
    <w:rsid w:val="00BB1915"/>
    <w:rsid w:val="00BB19AB"/>
    <w:rsid w:val="00BB2073"/>
    <w:rsid w:val="00BB2909"/>
    <w:rsid w:val="00BB2A16"/>
    <w:rsid w:val="00BB2D18"/>
    <w:rsid w:val="00BB2D75"/>
    <w:rsid w:val="00BB2F58"/>
    <w:rsid w:val="00BB33B7"/>
    <w:rsid w:val="00BB354E"/>
    <w:rsid w:val="00BB3A21"/>
    <w:rsid w:val="00BB4E3B"/>
    <w:rsid w:val="00BB517A"/>
    <w:rsid w:val="00BB55F5"/>
    <w:rsid w:val="00BB5924"/>
    <w:rsid w:val="00BB5978"/>
    <w:rsid w:val="00BB5A84"/>
    <w:rsid w:val="00BB62E1"/>
    <w:rsid w:val="00BB6549"/>
    <w:rsid w:val="00BB6B4F"/>
    <w:rsid w:val="00BB6C4F"/>
    <w:rsid w:val="00BB6D58"/>
    <w:rsid w:val="00BC01B9"/>
    <w:rsid w:val="00BC0DCB"/>
    <w:rsid w:val="00BC11A1"/>
    <w:rsid w:val="00BC24B8"/>
    <w:rsid w:val="00BC279C"/>
    <w:rsid w:val="00BC2831"/>
    <w:rsid w:val="00BC30DF"/>
    <w:rsid w:val="00BC34C0"/>
    <w:rsid w:val="00BC3625"/>
    <w:rsid w:val="00BC3BF7"/>
    <w:rsid w:val="00BC4210"/>
    <w:rsid w:val="00BC44D5"/>
    <w:rsid w:val="00BC46C6"/>
    <w:rsid w:val="00BC4811"/>
    <w:rsid w:val="00BC48EA"/>
    <w:rsid w:val="00BC492F"/>
    <w:rsid w:val="00BC4A2E"/>
    <w:rsid w:val="00BC50A6"/>
    <w:rsid w:val="00BC50CA"/>
    <w:rsid w:val="00BC5A3C"/>
    <w:rsid w:val="00BC5C19"/>
    <w:rsid w:val="00BC5E5F"/>
    <w:rsid w:val="00BC655D"/>
    <w:rsid w:val="00BC697A"/>
    <w:rsid w:val="00BC6990"/>
    <w:rsid w:val="00BC69D8"/>
    <w:rsid w:val="00BC6F93"/>
    <w:rsid w:val="00BC7356"/>
    <w:rsid w:val="00BC79CB"/>
    <w:rsid w:val="00BD029F"/>
    <w:rsid w:val="00BD0BF7"/>
    <w:rsid w:val="00BD0C96"/>
    <w:rsid w:val="00BD0FE2"/>
    <w:rsid w:val="00BD1C5B"/>
    <w:rsid w:val="00BD202A"/>
    <w:rsid w:val="00BD232B"/>
    <w:rsid w:val="00BD2FF4"/>
    <w:rsid w:val="00BD3B25"/>
    <w:rsid w:val="00BD3FCD"/>
    <w:rsid w:val="00BD40BC"/>
    <w:rsid w:val="00BD41C1"/>
    <w:rsid w:val="00BD4A9C"/>
    <w:rsid w:val="00BD4CB4"/>
    <w:rsid w:val="00BD4D7B"/>
    <w:rsid w:val="00BD54E7"/>
    <w:rsid w:val="00BD56B6"/>
    <w:rsid w:val="00BD5855"/>
    <w:rsid w:val="00BD5968"/>
    <w:rsid w:val="00BD6408"/>
    <w:rsid w:val="00BD6585"/>
    <w:rsid w:val="00BD7007"/>
    <w:rsid w:val="00BD71DC"/>
    <w:rsid w:val="00BD770E"/>
    <w:rsid w:val="00BD7AB2"/>
    <w:rsid w:val="00BD7B07"/>
    <w:rsid w:val="00BE0E6E"/>
    <w:rsid w:val="00BE1183"/>
    <w:rsid w:val="00BE13F9"/>
    <w:rsid w:val="00BE1836"/>
    <w:rsid w:val="00BE18ED"/>
    <w:rsid w:val="00BE1C37"/>
    <w:rsid w:val="00BE1D53"/>
    <w:rsid w:val="00BE1DD1"/>
    <w:rsid w:val="00BE1DD4"/>
    <w:rsid w:val="00BE1F62"/>
    <w:rsid w:val="00BE2746"/>
    <w:rsid w:val="00BE2FB4"/>
    <w:rsid w:val="00BE31ED"/>
    <w:rsid w:val="00BE35B2"/>
    <w:rsid w:val="00BE3913"/>
    <w:rsid w:val="00BE4D4F"/>
    <w:rsid w:val="00BE546F"/>
    <w:rsid w:val="00BE56C3"/>
    <w:rsid w:val="00BE5FA5"/>
    <w:rsid w:val="00BE628A"/>
    <w:rsid w:val="00BE6C14"/>
    <w:rsid w:val="00BE6DB8"/>
    <w:rsid w:val="00BE6FA8"/>
    <w:rsid w:val="00BE749B"/>
    <w:rsid w:val="00BE7C94"/>
    <w:rsid w:val="00BF005B"/>
    <w:rsid w:val="00BF0B70"/>
    <w:rsid w:val="00BF1308"/>
    <w:rsid w:val="00BF1A44"/>
    <w:rsid w:val="00BF1F37"/>
    <w:rsid w:val="00BF20BE"/>
    <w:rsid w:val="00BF20CD"/>
    <w:rsid w:val="00BF230D"/>
    <w:rsid w:val="00BF25BD"/>
    <w:rsid w:val="00BF268E"/>
    <w:rsid w:val="00BF28C6"/>
    <w:rsid w:val="00BF3722"/>
    <w:rsid w:val="00BF3987"/>
    <w:rsid w:val="00BF535C"/>
    <w:rsid w:val="00BF5954"/>
    <w:rsid w:val="00BF59C7"/>
    <w:rsid w:val="00BF62B1"/>
    <w:rsid w:val="00BF6637"/>
    <w:rsid w:val="00BF6A62"/>
    <w:rsid w:val="00BF7A61"/>
    <w:rsid w:val="00C0018F"/>
    <w:rsid w:val="00C00830"/>
    <w:rsid w:val="00C01155"/>
    <w:rsid w:val="00C02802"/>
    <w:rsid w:val="00C03328"/>
    <w:rsid w:val="00C03386"/>
    <w:rsid w:val="00C038C4"/>
    <w:rsid w:val="00C03C42"/>
    <w:rsid w:val="00C03F60"/>
    <w:rsid w:val="00C042F1"/>
    <w:rsid w:val="00C0486A"/>
    <w:rsid w:val="00C049C8"/>
    <w:rsid w:val="00C05201"/>
    <w:rsid w:val="00C0561E"/>
    <w:rsid w:val="00C057CC"/>
    <w:rsid w:val="00C060A4"/>
    <w:rsid w:val="00C06546"/>
    <w:rsid w:val="00C06F54"/>
    <w:rsid w:val="00C105CA"/>
    <w:rsid w:val="00C106F4"/>
    <w:rsid w:val="00C110C3"/>
    <w:rsid w:val="00C114C0"/>
    <w:rsid w:val="00C11500"/>
    <w:rsid w:val="00C11713"/>
    <w:rsid w:val="00C11E8C"/>
    <w:rsid w:val="00C11FC3"/>
    <w:rsid w:val="00C1283B"/>
    <w:rsid w:val="00C12990"/>
    <w:rsid w:val="00C135BD"/>
    <w:rsid w:val="00C13640"/>
    <w:rsid w:val="00C1369C"/>
    <w:rsid w:val="00C139AC"/>
    <w:rsid w:val="00C13BB9"/>
    <w:rsid w:val="00C13CEF"/>
    <w:rsid w:val="00C1422B"/>
    <w:rsid w:val="00C14B5E"/>
    <w:rsid w:val="00C14D74"/>
    <w:rsid w:val="00C14E7E"/>
    <w:rsid w:val="00C153E0"/>
    <w:rsid w:val="00C15493"/>
    <w:rsid w:val="00C15E54"/>
    <w:rsid w:val="00C1692E"/>
    <w:rsid w:val="00C16A23"/>
    <w:rsid w:val="00C16B8B"/>
    <w:rsid w:val="00C17472"/>
    <w:rsid w:val="00C2015A"/>
    <w:rsid w:val="00C204E2"/>
    <w:rsid w:val="00C212C6"/>
    <w:rsid w:val="00C21B62"/>
    <w:rsid w:val="00C21EC0"/>
    <w:rsid w:val="00C22139"/>
    <w:rsid w:val="00C2257B"/>
    <w:rsid w:val="00C2332E"/>
    <w:rsid w:val="00C24314"/>
    <w:rsid w:val="00C244C3"/>
    <w:rsid w:val="00C2459E"/>
    <w:rsid w:val="00C245D8"/>
    <w:rsid w:val="00C24627"/>
    <w:rsid w:val="00C248CC"/>
    <w:rsid w:val="00C2492A"/>
    <w:rsid w:val="00C24D5F"/>
    <w:rsid w:val="00C24F14"/>
    <w:rsid w:val="00C25026"/>
    <w:rsid w:val="00C25385"/>
    <w:rsid w:val="00C25954"/>
    <w:rsid w:val="00C25D82"/>
    <w:rsid w:val="00C26360"/>
    <w:rsid w:val="00C2667C"/>
    <w:rsid w:val="00C27BD1"/>
    <w:rsid w:val="00C27CB0"/>
    <w:rsid w:val="00C27ECD"/>
    <w:rsid w:val="00C27F12"/>
    <w:rsid w:val="00C301C8"/>
    <w:rsid w:val="00C30556"/>
    <w:rsid w:val="00C30647"/>
    <w:rsid w:val="00C30BBA"/>
    <w:rsid w:val="00C30E11"/>
    <w:rsid w:val="00C310A6"/>
    <w:rsid w:val="00C31442"/>
    <w:rsid w:val="00C319BB"/>
    <w:rsid w:val="00C31BA7"/>
    <w:rsid w:val="00C31BD9"/>
    <w:rsid w:val="00C32014"/>
    <w:rsid w:val="00C322B4"/>
    <w:rsid w:val="00C3297C"/>
    <w:rsid w:val="00C33020"/>
    <w:rsid w:val="00C334FB"/>
    <w:rsid w:val="00C339D9"/>
    <w:rsid w:val="00C34A03"/>
    <w:rsid w:val="00C34B5F"/>
    <w:rsid w:val="00C357F9"/>
    <w:rsid w:val="00C35F85"/>
    <w:rsid w:val="00C36327"/>
    <w:rsid w:val="00C36640"/>
    <w:rsid w:val="00C366F5"/>
    <w:rsid w:val="00C36A4A"/>
    <w:rsid w:val="00C36C45"/>
    <w:rsid w:val="00C37358"/>
    <w:rsid w:val="00C376A5"/>
    <w:rsid w:val="00C37A23"/>
    <w:rsid w:val="00C37BF2"/>
    <w:rsid w:val="00C37E2E"/>
    <w:rsid w:val="00C400B2"/>
    <w:rsid w:val="00C4050F"/>
    <w:rsid w:val="00C4059B"/>
    <w:rsid w:val="00C408ED"/>
    <w:rsid w:val="00C41339"/>
    <w:rsid w:val="00C4186C"/>
    <w:rsid w:val="00C42A1B"/>
    <w:rsid w:val="00C42B23"/>
    <w:rsid w:val="00C431E5"/>
    <w:rsid w:val="00C43DB3"/>
    <w:rsid w:val="00C4407E"/>
    <w:rsid w:val="00C44114"/>
    <w:rsid w:val="00C441DC"/>
    <w:rsid w:val="00C4498E"/>
    <w:rsid w:val="00C44DDC"/>
    <w:rsid w:val="00C453FC"/>
    <w:rsid w:val="00C45C0A"/>
    <w:rsid w:val="00C4630D"/>
    <w:rsid w:val="00C46C58"/>
    <w:rsid w:val="00C47113"/>
    <w:rsid w:val="00C47785"/>
    <w:rsid w:val="00C478A4"/>
    <w:rsid w:val="00C47FC2"/>
    <w:rsid w:val="00C50252"/>
    <w:rsid w:val="00C50414"/>
    <w:rsid w:val="00C50577"/>
    <w:rsid w:val="00C50891"/>
    <w:rsid w:val="00C50B5D"/>
    <w:rsid w:val="00C50FC9"/>
    <w:rsid w:val="00C5111D"/>
    <w:rsid w:val="00C51954"/>
    <w:rsid w:val="00C51BF5"/>
    <w:rsid w:val="00C52916"/>
    <w:rsid w:val="00C5476F"/>
    <w:rsid w:val="00C549F7"/>
    <w:rsid w:val="00C55BCE"/>
    <w:rsid w:val="00C55E68"/>
    <w:rsid w:val="00C56008"/>
    <w:rsid w:val="00C56688"/>
    <w:rsid w:val="00C5671C"/>
    <w:rsid w:val="00C569ED"/>
    <w:rsid w:val="00C56C1A"/>
    <w:rsid w:val="00C56D79"/>
    <w:rsid w:val="00C56F80"/>
    <w:rsid w:val="00C57249"/>
    <w:rsid w:val="00C572F5"/>
    <w:rsid w:val="00C5753A"/>
    <w:rsid w:val="00C57558"/>
    <w:rsid w:val="00C57A55"/>
    <w:rsid w:val="00C57E0F"/>
    <w:rsid w:val="00C57FF5"/>
    <w:rsid w:val="00C6053D"/>
    <w:rsid w:val="00C60B17"/>
    <w:rsid w:val="00C60CB3"/>
    <w:rsid w:val="00C61388"/>
    <w:rsid w:val="00C6162E"/>
    <w:rsid w:val="00C616B2"/>
    <w:rsid w:val="00C61758"/>
    <w:rsid w:val="00C62B0D"/>
    <w:rsid w:val="00C63B38"/>
    <w:rsid w:val="00C63C08"/>
    <w:rsid w:val="00C63CC6"/>
    <w:rsid w:val="00C64C61"/>
    <w:rsid w:val="00C65562"/>
    <w:rsid w:val="00C65C26"/>
    <w:rsid w:val="00C65DA8"/>
    <w:rsid w:val="00C66104"/>
    <w:rsid w:val="00C668D4"/>
    <w:rsid w:val="00C669DC"/>
    <w:rsid w:val="00C66D9D"/>
    <w:rsid w:val="00C67281"/>
    <w:rsid w:val="00C67391"/>
    <w:rsid w:val="00C674B2"/>
    <w:rsid w:val="00C6759C"/>
    <w:rsid w:val="00C67AD5"/>
    <w:rsid w:val="00C7066B"/>
    <w:rsid w:val="00C70C52"/>
    <w:rsid w:val="00C717C0"/>
    <w:rsid w:val="00C71868"/>
    <w:rsid w:val="00C7188C"/>
    <w:rsid w:val="00C71B29"/>
    <w:rsid w:val="00C71B80"/>
    <w:rsid w:val="00C71D5C"/>
    <w:rsid w:val="00C7215B"/>
    <w:rsid w:val="00C73505"/>
    <w:rsid w:val="00C73A93"/>
    <w:rsid w:val="00C73B3B"/>
    <w:rsid w:val="00C73C43"/>
    <w:rsid w:val="00C73EBB"/>
    <w:rsid w:val="00C746D0"/>
    <w:rsid w:val="00C7496B"/>
    <w:rsid w:val="00C74B70"/>
    <w:rsid w:val="00C74D2F"/>
    <w:rsid w:val="00C76328"/>
    <w:rsid w:val="00C76397"/>
    <w:rsid w:val="00C77303"/>
    <w:rsid w:val="00C77712"/>
    <w:rsid w:val="00C80097"/>
    <w:rsid w:val="00C80251"/>
    <w:rsid w:val="00C80680"/>
    <w:rsid w:val="00C80B2A"/>
    <w:rsid w:val="00C82426"/>
    <w:rsid w:val="00C824A8"/>
    <w:rsid w:val="00C82A61"/>
    <w:rsid w:val="00C82F86"/>
    <w:rsid w:val="00C83A80"/>
    <w:rsid w:val="00C84436"/>
    <w:rsid w:val="00C84439"/>
    <w:rsid w:val="00C84639"/>
    <w:rsid w:val="00C84ECE"/>
    <w:rsid w:val="00C85203"/>
    <w:rsid w:val="00C85346"/>
    <w:rsid w:val="00C85493"/>
    <w:rsid w:val="00C85ADF"/>
    <w:rsid w:val="00C85E26"/>
    <w:rsid w:val="00C861B8"/>
    <w:rsid w:val="00C86584"/>
    <w:rsid w:val="00C8747A"/>
    <w:rsid w:val="00C902F6"/>
    <w:rsid w:val="00C9079E"/>
    <w:rsid w:val="00C90982"/>
    <w:rsid w:val="00C90A65"/>
    <w:rsid w:val="00C90CCF"/>
    <w:rsid w:val="00C9130F"/>
    <w:rsid w:val="00C919AF"/>
    <w:rsid w:val="00C91C22"/>
    <w:rsid w:val="00C91EBF"/>
    <w:rsid w:val="00C91F6C"/>
    <w:rsid w:val="00C923AF"/>
    <w:rsid w:val="00C925F3"/>
    <w:rsid w:val="00C92885"/>
    <w:rsid w:val="00C9324D"/>
    <w:rsid w:val="00C935DF"/>
    <w:rsid w:val="00C9397E"/>
    <w:rsid w:val="00C93E6D"/>
    <w:rsid w:val="00C93F0E"/>
    <w:rsid w:val="00C94117"/>
    <w:rsid w:val="00C9421F"/>
    <w:rsid w:val="00C94400"/>
    <w:rsid w:val="00C94682"/>
    <w:rsid w:val="00C94D56"/>
    <w:rsid w:val="00C952B0"/>
    <w:rsid w:val="00C95832"/>
    <w:rsid w:val="00C95F83"/>
    <w:rsid w:val="00C97239"/>
    <w:rsid w:val="00C97283"/>
    <w:rsid w:val="00CA0061"/>
    <w:rsid w:val="00CA0264"/>
    <w:rsid w:val="00CA02D0"/>
    <w:rsid w:val="00CA0310"/>
    <w:rsid w:val="00CA0CF4"/>
    <w:rsid w:val="00CA0FBC"/>
    <w:rsid w:val="00CA10A8"/>
    <w:rsid w:val="00CA1331"/>
    <w:rsid w:val="00CA1ABE"/>
    <w:rsid w:val="00CA2282"/>
    <w:rsid w:val="00CA2A02"/>
    <w:rsid w:val="00CA2FE5"/>
    <w:rsid w:val="00CA31D5"/>
    <w:rsid w:val="00CA37ED"/>
    <w:rsid w:val="00CA4B2C"/>
    <w:rsid w:val="00CA4EE5"/>
    <w:rsid w:val="00CA4F65"/>
    <w:rsid w:val="00CA5075"/>
    <w:rsid w:val="00CA5924"/>
    <w:rsid w:val="00CA5D22"/>
    <w:rsid w:val="00CA5E8D"/>
    <w:rsid w:val="00CA7694"/>
    <w:rsid w:val="00CA7EF3"/>
    <w:rsid w:val="00CB0552"/>
    <w:rsid w:val="00CB12F9"/>
    <w:rsid w:val="00CB3F59"/>
    <w:rsid w:val="00CB48D0"/>
    <w:rsid w:val="00CB498E"/>
    <w:rsid w:val="00CB51B2"/>
    <w:rsid w:val="00CB538D"/>
    <w:rsid w:val="00CB539F"/>
    <w:rsid w:val="00CB5EB8"/>
    <w:rsid w:val="00CB6E57"/>
    <w:rsid w:val="00CB79A9"/>
    <w:rsid w:val="00CB7C93"/>
    <w:rsid w:val="00CB7CCA"/>
    <w:rsid w:val="00CC1BEC"/>
    <w:rsid w:val="00CC244C"/>
    <w:rsid w:val="00CC2526"/>
    <w:rsid w:val="00CC26A7"/>
    <w:rsid w:val="00CC2BDD"/>
    <w:rsid w:val="00CC2D1F"/>
    <w:rsid w:val="00CC32AC"/>
    <w:rsid w:val="00CC3631"/>
    <w:rsid w:val="00CC3BF0"/>
    <w:rsid w:val="00CC3CD1"/>
    <w:rsid w:val="00CC462B"/>
    <w:rsid w:val="00CC4869"/>
    <w:rsid w:val="00CC4A96"/>
    <w:rsid w:val="00CC59B6"/>
    <w:rsid w:val="00CC59F4"/>
    <w:rsid w:val="00CC611B"/>
    <w:rsid w:val="00CC6304"/>
    <w:rsid w:val="00CC6602"/>
    <w:rsid w:val="00CC6EE7"/>
    <w:rsid w:val="00CC75F6"/>
    <w:rsid w:val="00CC76AE"/>
    <w:rsid w:val="00CD0516"/>
    <w:rsid w:val="00CD14D8"/>
    <w:rsid w:val="00CD19C6"/>
    <w:rsid w:val="00CD1B3E"/>
    <w:rsid w:val="00CD22B8"/>
    <w:rsid w:val="00CD28BA"/>
    <w:rsid w:val="00CD2BC9"/>
    <w:rsid w:val="00CD2E04"/>
    <w:rsid w:val="00CD34D6"/>
    <w:rsid w:val="00CD37A6"/>
    <w:rsid w:val="00CD3977"/>
    <w:rsid w:val="00CD397C"/>
    <w:rsid w:val="00CD3A00"/>
    <w:rsid w:val="00CD4146"/>
    <w:rsid w:val="00CD4425"/>
    <w:rsid w:val="00CD5742"/>
    <w:rsid w:val="00CD5B00"/>
    <w:rsid w:val="00CD5F9E"/>
    <w:rsid w:val="00CD60D4"/>
    <w:rsid w:val="00CD68C8"/>
    <w:rsid w:val="00CD68FE"/>
    <w:rsid w:val="00CD6EE8"/>
    <w:rsid w:val="00CD768D"/>
    <w:rsid w:val="00CD795C"/>
    <w:rsid w:val="00CD79B7"/>
    <w:rsid w:val="00CE0723"/>
    <w:rsid w:val="00CE0953"/>
    <w:rsid w:val="00CE0969"/>
    <w:rsid w:val="00CE14EA"/>
    <w:rsid w:val="00CE1F86"/>
    <w:rsid w:val="00CE21E4"/>
    <w:rsid w:val="00CE2839"/>
    <w:rsid w:val="00CE3419"/>
    <w:rsid w:val="00CE3A2B"/>
    <w:rsid w:val="00CE3A54"/>
    <w:rsid w:val="00CE4106"/>
    <w:rsid w:val="00CE43A6"/>
    <w:rsid w:val="00CE4BA6"/>
    <w:rsid w:val="00CE50C5"/>
    <w:rsid w:val="00CE53F2"/>
    <w:rsid w:val="00CE57D0"/>
    <w:rsid w:val="00CE6542"/>
    <w:rsid w:val="00CE65DD"/>
    <w:rsid w:val="00CE6690"/>
    <w:rsid w:val="00CE66A7"/>
    <w:rsid w:val="00CE6F65"/>
    <w:rsid w:val="00CE79B6"/>
    <w:rsid w:val="00CF0257"/>
    <w:rsid w:val="00CF10BF"/>
    <w:rsid w:val="00CF11CE"/>
    <w:rsid w:val="00CF1242"/>
    <w:rsid w:val="00CF1360"/>
    <w:rsid w:val="00CF1D44"/>
    <w:rsid w:val="00CF1E11"/>
    <w:rsid w:val="00CF23CC"/>
    <w:rsid w:val="00CF2CCA"/>
    <w:rsid w:val="00CF2EC1"/>
    <w:rsid w:val="00CF324E"/>
    <w:rsid w:val="00CF38DF"/>
    <w:rsid w:val="00CF38E8"/>
    <w:rsid w:val="00CF3D90"/>
    <w:rsid w:val="00CF45E5"/>
    <w:rsid w:val="00CF5146"/>
    <w:rsid w:val="00CF54AF"/>
    <w:rsid w:val="00CF57FA"/>
    <w:rsid w:val="00CF5F93"/>
    <w:rsid w:val="00CF5FF9"/>
    <w:rsid w:val="00CF61EF"/>
    <w:rsid w:val="00CF7041"/>
    <w:rsid w:val="00CF709E"/>
    <w:rsid w:val="00CF70D7"/>
    <w:rsid w:val="00CF7252"/>
    <w:rsid w:val="00CF7B4B"/>
    <w:rsid w:val="00CF7CA4"/>
    <w:rsid w:val="00D018D2"/>
    <w:rsid w:val="00D01AFF"/>
    <w:rsid w:val="00D01BA5"/>
    <w:rsid w:val="00D01DEC"/>
    <w:rsid w:val="00D02374"/>
    <w:rsid w:val="00D02C32"/>
    <w:rsid w:val="00D0340A"/>
    <w:rsid w:val="00D03CC5"/>
    <w:rsid w:val="00D058E3"/>
    <w:rsid w:val="00D06131"/>
    <w:rsid w:val="00D07102"/>
    <w:rsid w:val="00D0790C"/>
    <w:rsid w:val="00D07955"/>
    <w:rsid w:val="00D10D4F"/>
    <w:rsid w:val="00D1104A"/>
    <w:rsid w:val="00D111BA"/>
    <w:rsid w:val="00D11ADD"/>
    <w:rsid w:val="00D12D79"/>
    <w:rsid w:val="00D12DCC"/>
    <w:rsid w:val="00D14420"/>
    <w:rsid w:val="00D14545"/>
    <w:rsid w:val="00D145A4"/>
    <w:rsid w:val="00D1485B"/>
    <w:rsid w:val="00D148AA"/>
    <w:rsid w:val="00D148B9"/>
    <w:rsid w:val="00D14917"/>
    <w:rsid w:val="00D14B76"/>
    <w:rsid w:val="00D1570B"/>
    <w:rsid w:val="00D15833"/>
    <w:rsid w:val="00D15956"/>
    <w:rsid w:val="00D15DB4"/>
    <w:rsid w:val="00D20246"/>
    <w:rsid w:val="00D2034E"/>
    <w:rsid w:val="00D204E0"/>
    <w:rsid w:val="00D20516"/>
    <w:rsid w:val="00D207DB"/>
    <w:rsid w:val="00D20A4A"/>
    <w:rsid w:val="00D21D4C"/>
    <w:rsid w:val="00D22202"/>
    <w:rsid w:val="00D226C3"/>
    <w:rsid w:val="00D23B09"/>
    <w:rsid w:val="00D23E26"/>
    <w:rsid w:val="00D23F4B"/>
    <w:rsid w:val="00D243C3"/>
    <w:rsid w:val="00D247AC"/>
    <w:rsid w:val="00D25871"/>
    <w:rsid w:val="00D30951"/>
    <w:rsid w:val="00D312AD"/>
    <w:rsid w:val="00D31327"/>
    <w:rsid w:val="00D318FE"/>
    <w:rsid w:val="00D319A6"/>
    <w:rsid w:val="00D31AD7"/>
    <w:rsid w:val="00D31B95"/>
    <w:rsid w:val="00D31E2E"/>
    <w:rsid w:val="00D31F49"/>
    <w:rsid w:val="00D32140"/>
    <w:rsid w:val="00D32D30"/>
    <w:rsid w:val="00D33402"/>
    <w:rsid w:val="00D335AD"/>
    <w:rsid w:val="00D341E4"/>
    <w:rsid w:val="00D345E2"/>
    <w:rsid w:val="00D34697"/>
    <w:rsid w:val="00D34844"/>
    <w:rsid w:val="00D34964"/>
    <w:rsid w:val="00D34BB0"/>
    <w:rsid w:val="00D34C29"/>
    <w:rsid w:val="00D363DE"/>
    <w:rsid w:val="00D36792"/>
    <w:rsid w:val="00D36AB5"/>
    <w:rsid w:val="00D36B1C"/>
    <w:rsid w:val="00D36F36"/>
    <w:rsid w:val="00D3730C"/>
    <w:rsid w:val="00D37FBB"/>
    <w:rsid w:val="00D401E0"/>
    <w:rsid w:val="00D40B20"/>
    <w:rsid w:val="00D41E81"/>
    <w:rsid w:val="00D41EF7"/>
    <w:rsid w:val="00D4253F"/>
    <w:rsid w:val="00D427E7"/>
    <w:rsid w:val="00D428D4"/>
    <w:rsid w:val="00D43428"/>
    <w:rsid w:val="00D43598"/>
    <w:rsid w:val="00D4387D"/>
    <w:rsid w:val="00D43A68"/>
    <w:rsid w:val="00D44087"/>
    <w:rsid w:val="00D44214"/>
    <w:rsid w:val="00D448F6"/>
    <w:rsid w:val="00D4589F"/>
    <w:rsid w:val="00D4632B"/>
    <w:rsid w:val="00D467CA"/>
    <w:rsid w:val="00D46C67"/>
    <w:rsid w:val="00D47658"/>
    <w:rsid w:val="00D477AD"/>
    <w:rsid w:val="00D508E3"/>
    <w:rsid w:val="00D50BEC"/>
    <w:rsid w:val="00D50D52"/>
    <w:rsid w:val="00D50FA5"/>
    <w:rsid w:val="00D51642"/>
    <w:rsid w:val="00D5190D"/>
    <w:rsid w:val="00D51954"/>
    <w:rsid w:val="00D51D4A"/>
    <w:rsid w:val="00D52B65"/>
    <w:rsid w:val="00D52C33"/>
    <w:rsid w:val="00D5481B"/>
    <w:rsid w:val="00D54885"/>
    <w:rsid w:val="00D550B4"/>
    <w:rsid w:val="00D551CA"/>
    <w:rsid w:val="00D55CE6"/>
    <w:rsid w:val="00D55DB8"/>
    <w:rsid w:val="00D5619D"/>
    <w:rsid w:val="00D5630B"/>
    <w:rsid w:val="00D56D5F"/>
    <w:rsid w:val="00D56F6E"/>
    <w:rsid w:val="00D56FA6"/>
    <w:rsid w:val="00D57C10"/>
    <w:rsid w:val="00D57E1A"/>
    <w:rsid w:val="00D60953"/>
    <w:rsid w:val="00D60B01"/>
    <w:rsid w:val="00D60F60"/>
    <w:rsid w:val="00D611D7"/>
    <w:rsid w:val="00D61227"/>
    <w:rsid w:val="00D6156B"/>
    <w:rsid w:val="00D61822"/>
    <w:rsid w:val="00D6197C"/>
    <w:rsid w:val="00D61A22"/>
    <w:rsid w:val="00D61AD1"/>
    <w:rsid w:val="00D61F94"/>
    <w:rsid w:val="00D620E4"/>
    <w:rsid w:val="00D62A45"/>
    <w:rsid w:val="00D63046"/>
    <w:rsid w:val="00D64217"/>
    <w:rsid w:val="00D64262"/>
    <w:rsid w:val="00D6473B"/>
    <w:rsid w:val="00D64AB4"/>
    <w:rsid w:val="00D64F69"/>
    <w:rsid w:val="00D64F7B"/>
    <w:rsid w:val="00D64F85"/>
    <w:rsid w:val="00D652DD"/>
    <w:rsid w:val="00D65756"/>
    <w:rsid w:val="00D65E22"/>
    <w:rsid w:val="00D66675"/>
    <w:rsid w:val="00D66BD4"/>
    <w:rsid w:val="00D66C67"/>
    <w:rsid w:val="00D66D34"/>
    <w:rsid w:val="00D66DC3"/>
    <w:rsid w:val="00D66EE3"/>
    <w:rsid w:val="00D67573"/>
    <w:rsid w:val="00D675C0"/>
    <w:rsid w:val="00D67B03"/>
    <w:rsid w:val="00D67FDE"/>
    <w:rsid w:val="00D70005"/>
    <w:rsid w:val="00D70137"/>
    <w:rsid w:val="00D70568"/>
    <w:rsid w:val="00D7103F"/>
    <w:rsid w:val="00D7122E"/>
    <w:rsid w:val="00D71567"/>
    <w:rsid w:val="00D71B4C"/>
    <w:rsid w:val="00D71F73"/>
    <w:rsid w:val="00D72DBD"/>
    <w:rsid w:val="00D73075"/>
    <w:rsid w:val="00D74289"/>
    <w:rsid w:val="00D74698"/>
    <w:rsid w:val="00D7495D"/>
    <w:rsid w:val="00D7553D"/>
    <w:rsid w:val="00D75EAC"/>
    <w:rsid w:val="00D76178"/>
    <w:rsid w:val="00D762A9"/>
    <w:rsid w:val="00D763BD"/>
    <w:rsid w:val="00D76C5E"/>
    <w:rsid w:val="00D76D68"/>
    <w:rsid w:val="00D77003"/>
    <w:rsid w:val="00D77222"/>
    <w:rsid w:val="00D77A50"/>
    <w:rsid w:val="00D80543"/>
    <w:rsid w:val="00D80A62"/>
    <w:rsid w:val="00D811CE"/>
    <w:rsid w:val="00D8166E"/>
    <w:rsid w:val="00D819A7"/>
    <w:rsid w:val="00D81AB1"/>
    <w:rsid w:val="00D81B3C"/>
    <w:rsid w:val="00D81D5F"/>
    <w:rsid w:val="00D81D92"/>
    <w:rsid w:val="00D823A2"/>
    <w:rsid w:val="00D82664"/>
    <w:rsid w:val="00D826F9"/>
    <w:rsid w:val="00D82CDE"/>
    <w:rsid w:val="00D8361E"/>
    <w:rsid w:val="00D8416E"/>
    <w:rsid w:val="00D8448E"/>
    <w:rsid w:val="00D84AF0"/>
    <w:rsid w:val="00D84F43"/>
    <w:rsid w:val="00D8508F"/>
    <w:rsid w:val="00D8542A"/>
    <w:rsid w:val="00D85AE8"/>
    <w:rsid w:val="00D85EDE"/>
    <w:rsid w:val="00D8619A"/>
    <w:rsid w:val="00D86EEA"/>
    <w:rsid w:val="00D8703F"/>
    <w:rsid w:val="00D87446"/>
    <w:rsid w:val="00D8765A"/>
    <w:rsid w:val="00D87AFF"/>
    <w:rsid w:val="00D90781"/>
    <w:rsid w:val="00D90BE0"/>
    <w:rsid w:val="00D90C63"/>
    <w:rsid w:val="00D9112A"/>
    <w:rsid w:val="00D91306"/>
    <w:rsid w:val="00D91C17"/>
    <w:rsid w:val="00D91E7E"/>
    <w:rsid w:val="00D91F8D"/>
    <w:rsid w:val="00D920AE"/>
    <w:rsid w:val="00D926F7"/>
    <w:rsid w:val="00D92887"/>
    <w:rsid w:val="00D9288A"/>
    <w:rsid w:val="00D934E3"/>
    <w:rsid w:val="00D941DE"/>
    <w:rsid w:val="00D943F0"/>
    <w:rsid w:val="00D944D3"/>
    <w:rsid w:val="00D95BCE"/>
    <w:rsid w:val="00D961A1"/>
    <w:rsid w:val="00D961D3"/>
    <w:rsid w:val="00D961D8"/>
    <w:rsid w:val="00D963CF"/>
    <w:rsid w:val="00D96407"/>
    <w:rsid w:val="00D96933"/>
    <w:rsid w:val="00D96E81"/>
    <w:rsid w:val="00D9772B"/>
    <w:rsid w:val="00DA01B3"/>
    <w:rsid w:val="00DA0A50"/>
    <w:rsid w:val="00DA0D1B"/>
    <w:rsid w:val="00DA126F"/>
    <w:rsid w:val="00DA13A7"/>
    <w:rsid w:val="00DA1DF6"/>
    <w:rsid w:val="00DA1F1C"/>
    <w:rsid w:val="00DA24D1"/>
    <w:rsid w:val="00DA25F9"/>
    <w:rsid w:val="00DA29A2"/>
    <w:rsid w:val="00DA2A6D"/>
    <w:rsid w:val="00DA2B77"/>
    <w:rsid w:val="00DA366E"/>
    <w:rsid w:val="00DA3895"/>
    <w:rsid w:val="00DA3D25"/>
    <w:rsid w:val="00DA3DF7"/>
    <w:rsid w:val="00DA3E76"/>
    <w:rsid w:val="00DA412B"/>
    <w:rsid w:val="00DA4F04"/>
    <w:rsid w:val="00DA5056"/>
    <w:rsid w:val="00DA51E6"/>
    <w:rsid w:val="00DA5A80"/>
    <w:rsid w:val="00DA633D"/>
    <w:rsid w:val="00DA67B6"/>
    <w:rsid w:val="00DA7368"/>
    <w:rsid w:val="00DA79DE"/>
    <w:rsid w:val="00DA7C90"/>
    <w:rsid w:val="00DA7D28"/>
    <w:rsid w:val="00DA7F3A"/>
    <w:rsid w:val="00DB0046"/>
    <w:rsid w:val="00DB0123"/>
    <w:rsid w:val="00DB02ED"/>
    <w:rsid w:val="00DB0DF7"/>
    <w:rsid w:val="00DB18FC"/>
    <w:rsid w:val="00DB1DFB"/>
    <w:rsid w:val="00DB22E2"/>
    <w:rsid w:val="00DB256F"/>
    <w:rsid w:val="00DB260C"/>
    <w:rsid w:val="00DB2A3F"/>
    <w:rsid w:val="00DB2B9E"/>
    <w:rsid w:val="00DB2C33"/>
    <w:rsid w:val="00DB3394"/>
    <w:rsid w:val="00DB37FD"/>
    <w:rsid w:val="00DB3831"/>
    <w:rsid w:val="00DB4644"/>
    <w:rsid w:val="00DB4E5A"/>
    <w:rsid w:val="00DB54C4"/>
    <w:rsid w:val="00DB556E"/>
    <w:rsid w:val="00DB5AD8"/>
    <w:rsid w:val="00DB6707"/>
    <w:rsid w:val="00DB6A40"/>
    <w:rsid w:val="00DB7107"/>
    <w:rsid w:val="00DB72D8"/>
    <w:rsid w:val="00DB7BF9"/>
    <w:rsid w:val="00DB7C4C"/>
    <w:rsid w:val="00DB7EA1"/>
    <w:rsid w:val="00DC0B63"/>
    <w:rsid w:val="00DC0CB9"/>
    <w:rsid w:val="00DC0E6F"/>
    <w:rsid w:val="00DC178E"/>
    <w:rsid w:val="00DC17A4"/>
    <w:rsid w:val="00DC18AC"/>
    <w:rsid w:val="00DC2476"/>
    <w:rsid w:val="00DC28C9"/>
    <w:rsid w:val="00DC2D4B"/>
    <w:rsid w:val="00DC326B"/>
    <w:rsid w:val="00DC343C"/>
    <w:rsid w:val="00DC3519"/>
    <w:rsid w:val="00DC3569"/>
    <w:rsid w:val="00DC3B9E"/>
    <w:rsid w:val="00DC3BE4"/>
    <w:rsid w:val="00DC4BA1"/>
    <w:rsid w:val="00DC51A3"/>
    <w:rsid w:val="00DC5267"/>
    <w:rsid w:val="00DC546A"/>
    <w:rsid w:val="00DC595F"/>
    <w:rsid w:val="00DC6CFF"/>
    <w:rsid w:val="00DC744D"/>
    <w:rsid w:val="00DC7457"/>
    <w:rsid w:val="00DC74C2"/>
    <w:rsid w:val="00DC79AE"/>
    <w:rsid w:val="00DC7D84"/>
    <w:rsid w:val="00DD081D"/>
    <w:rsid w:val="00DD15B8"/>
    <w:rsid w:val="00DD1645"/>
    <w:rsid w:val="00DD1859"/>
    <w:rsid w:val="00DD19C1"/>
    <w:rsid w:val="00DD1AD5"/>
    <w:rsid w:val="00DD1B37"/>
    <w:rsid w:val="00DD28AE"/>
    <w:rsid w:val="00DD2E21"/>
    <w:rsid w:val="00DD2FA7"/>
    <w:rsid w:val="00DD3165"/>
    <w:rsid w:val="00DD3369"/>
    <w:rsid w:val="00DD3C61"/>
    <w:rsid w:val="00DD3CD4"/>
    <w:rsid w:val="00DD46BF"/>
    <w:rsid w:val="00DD4CD0"/>
    <w:rsid w:val="00DD4EB6"/>
    <w:rsid w:val="00DD5841"/>
    <w:rsid w:val="00DD63E5"/>
    <w:rsid w:val="00DD6409"/>
    <w:rsid w:val="00DD6B26"/>
    <w:rsid w:val="00DD7653"/>
    <w:rsid w:val="00DD7776"/>
    <w:rsid w:val="00DE03D9"/>
    <w:rsid w:val="00DE1514"/>
    <w:rsid w:val="00DE19B9"/>
    <w:rsid w:val="00DE1A37"/>
    <w:rsid w:val="00DE1B58"/>
    <w:rsid w:val="00DE209F"/>
    <w:rsid w:val="00DE296D"/>
    <w:rsid w:val="00DE2FE8"/>
    <w:rsid w:val="00DE3169"/>
    <w:rsid w:val="00DE39EC"/>
    <w:rsid w:val="00DE3C5D"/>
    <w:rsid w:val="00DE420C"/>
    <w:rsid w:val="00DE4AE4"/>
    <w:rsid w:val="00DE4D0A"/>
    <w:rsid w:val="00DE4D7E"/>
    <w:rsid w:val="00DE56A9"/>
    <w:rsid w:val="00DE5732"/>
    <w:rsid w:val="00DE5D46"/>
    <w:rsid w:val="00DE6A1A"/>
    <w:rsid w:val="00DE6D84"/>
    <w:rsid w:val="00DE6FC4"/>
    <w:rsid w:val="00DE6FFB"/>
    <w:rsid w:val="00DE766B"/>
    <w:rsid w:val="00DF11DE"/>
    <w:rsid w:val="00DF16CA"/>
    <w:rsid w:val="00DF1B93"/>
    <w:rsid w:val="00DF1EC7"/>
    <w:rsid w:val="00DF22DC"/>
    <w:rsid w:val="00DF26A2"/>
    <w:rsid w:val="00DF2A7E"/>
    <w:rsid w:val="00DF3501"/>
    <w:rsid w:val="00DF3D6F"/>
    <w:rsid w:val="00DF424C"/>
    <w:rsid w:val="00DF62D7"/>
    <w:rsid w:val="00DF6684"/>
    <w:rsid w:val="00DF6989"/>
    <w:rsid w:val="00DF6D3E"/>
    <w:rsid w:val="00DF76C2"/>
    <w:rsid w:val="00DF780B"/>
    <w:rsid w:val="00DF7A78"/>
    <w:rsid w:val="00DF7D79"/>
    <w:rsid w:val="00E002E7"/>
    <w:rsid w:val="00E006B5"/>
    <w:rsid w:val="00E00BD4"/>
    <w:rsid w:val="00E0142A"/>
    <w:rsid w:val="00E0158E"/>
    <w:rsid w:val="00E01672"/>
    <w:rsid w:val="00E01755"/>
    <w:rsid w:val="00E01930"/>
    <w:rsid w:val="00E0207B"/>
    <w:rsid w:val="00E024F1"/>
    <w:rsid w:val="00E02A2F"/>
    <w:rsid w:val="00E02CCB"/>
    <w:rsid w:val="00E02D89"/>
    <w:rsid w:val="00E034CF"/>
    <w:rsid w:val="00E036BB"/>
    <w:rsid w:val="00E03903"/>
    <w:rsid w:val="00E03BFE"/>
    <w:rsid w:val="00E04151"/>
    <w:rsid w:val="00E0476E"/>
    <w:rsid w:val="00E0491A"/>
    <w:rsid w:val="00E0519B"/>
    <w:rsid w:val="00E06815"/>
    <w:rsid w:val="00E0690B"/>
    <w:rsid w:val="00E073BA"/>
    <w:rsid w:val="00E07648"/>
    <w:rsid w:val="00E0786A"/>
    <w:rsid w:val="00E0793C"/>
    <w:rsid w:val="00E07EE4"/>
    <w:rsid w:val="00E1077E"/>
    <w:rsid w:val="00E10EE6"/>
    <w:rsid w:val="00E11331"/>
    <w:rsid w:val="00E115AC"/>
    <w:rsid w:val="00E11D0C"/>
    <w:rsid w:val="00E11F2E"/>
    <w:rsid w:val="00E12201"/>
    <w:rsid w:val="00E12606"/>
    <w:rsid w:val="00E12BEC"/>
    <w:rsid w:val="00E13262"/>
    <w:rsid w:val="00E139CB"/>
    <w:rsid w:val="00E13BC3"/>
    <w:rsid w:val="00E13E10"/>
    <w:rsid w:val="00E13EAC"/>
    <w:rsid w:val="00E14858"/>
    <w:rsid w:val="00E14B27"/>
    <w:rsid w:val="00E14CCD"/>
    <w:rsid w:val="00E14F00"/>
    <w:rsid w:val="00E15088"/>
    <w:rsid w:val="00E152C5"/>
    <w:rsid w:val="00E153CF"/>
    <w:rsid w:val="00E15558"/>
    <w:rsid w:val="00E16589"/>
    <w:rsid w:val="00E166CE"/>
    <w:rsid w:val="00E16995"/>
    <w:rsid w:val="00E16F72"/>
    <w:rsid w:val="00E17E53"/>
    <w:rsid w:val="00E17E79"/>
    <w:rsid w:val="00E2009B"/>
    <w:rsid w:val="00E200A4"/>
    <w:rsid w:val="00E20888"/>
    <w:rsid w:val="00E20BDE"/>
    <w:rsid w:val="00E20F42"/>
    <w:rsid w:val="00E20F9B"/>
    <w:rsid w:val="00E210F5"/>
    <w:rsid w:val="00E215C8"/>
    <w:rsid w:val="00E21CBA"/>
    <w:rsid w:val="00E21F39"/>
    <w:rsid w:val="00E221A9"/>
    <w:rsid w:val="00E22998"/>
    <w:rsid w:val="00E22AB6"/>
    <w:rsid w:val="00E22D29"/>
    <w:rsid w:val="00E2328F"/>
    <w:rsid w:val="00E23780"/>
    <w:rsid w:val="00E23FC0"/>
    <w:rsid w:val="00E2411C"/>
    <w:rsid w:val="00E2453A"/>
    <w:rsid w:val="00E24F16"/>
    <w:rsid w:val="00E250AB"/>
    <w:rsid w:val="00E25446"/>
    <w:rsid w:val="00E25FE4"/>
    <w:rsid w:val="00E263F5"/>
    <w:rsid w:val="00E26747"/>
    <w:rsid w:val="00E27200"/>
    <w:rsid w:val="00E27500"/>
    <w:rsid w:val="00E2756C"/>
    <w:rsid w:val="00E27A05"/>
    <w:rsid w:val="00E3010D"/>
    <w:rsid w:val="00E30288"/>
    <w:rsid w:val="00E30BF8"/>
    <w:rsid w:val="00E30EB1"/>
    <w:rsid w:val="00E314C1"/>
    <w:rsid w:val="00E317DF"/>
    <w:rsid w:val="00E31F2E"/>
    <w:rsid w:val="00E3238C"/>
    <w:rsid w:val="00E3258D"/>
    <w:rsid w:val="00E32B14"/>
    <w:rsid w:val="00E330AB"/>
    <w:rsid w:val="00E33426"/>
    <w:rsid w:val="00E33B45"/>
    <w:rsid w:val="00E343FF"/>
    <w:rsid w:val="00E34A48"/>
    <w:rsid w:val="00E35049"/>
    <w:rsid w:val="00E352AD"/>
    <w:rsid w:val="00E3538B"/>
    <w:rsid w:val="00E353E5"/>
    <w:rsid w:val="00E357EE"/>
    <w:rsid w:val="00E3771E"/>
    <w:rsid w:val="00E37841"/>
    <w:rsid w:val="00E403F0"/>
    <w:rsid w:val="00E40BD0"/>
    <w:rsid w:val="00E414FE"/>
    <w:rsid w:val="00E416E1"/>
    <w:rsid w:val="00E41B9F"/>
    <w:rsid w:val="00E42738"/>
    <w:rsid w:val="00E42942"/>
    <w:rsid w:val="00E44A91"/>
    <w:rsid w:val="00E44C78"/>
    <w:rsid w:val="00E44E07"/>
    <w:rsid w:val="00E44E2E"/>
    <w:rsid w:val="00E453B4"/>
    <w:rsid w:val="00E4611D"/>
    <w:rsid w:val="00E4784D"/>
    <w:rsid w:val="00E4793B"/>
    <w:rsid w:val="00E507D9"/>
    <w:rsid w:val="00E50994"/>
    <w:rsid w:val="00E513DC"/>
    <w:rsid w:val="00E51845"/>
    <w:rsid w:val="00E51982"/>
    <w:rsid w:val="00E51AEC"/>
    <w:rsid w:val="00E52033"/>
    <w:rsid w:val="00E520CE"/>
    <w:rsid w:val="00E5234E"/>
    <w:rsid w:val="00E52AA9"/>
    <w:rsid w:val="00E53347"/>
    <w:rsid w:val="00E53D13"/>
    <w:rsid w:val="00E550D2"/>
    <w:rsid w:val="00E558DC"/>
    <w:rsid w:val="00E559B3"/>
    <w:rsid w:val="00E55C8A"/>
    <w:rsid w:val="00E56779"/>
    <w:rsid w:val="00E567FA"/>
    <w:rsid w:val="00E56966"/>
    <w:rsid w:val="00E56C87"/>
    <w:rsid w:val="00E56DE7"/>
    <w:rsid w:val="00E56EAE"/>
    <w:rsid w:val="00E57159"/>
    <w:rsid w:val="00E572C4"/>
    <w:rsid w:val="00E5792F"/>
    <w:rsid w:val="00E57C95"/>
    <w:rsid w:val="00E6008C"/>
    <w:rsid w:val="00E6019E"/>
    <w:rsid w:val="00E602E2"/>
    <w:rsid w:val="00E606A7"/>
    <w:rsid w:val="00E6127B"/>
    <w:rsid w:val="00E61571"/>
    <w:rsid w:val="00E61AFF"/>
    <w:rsid w:val="00E61B1E"/>
    <w:rsid w:val="00E61FDF"/>
    <w:rsid w:val="00E6223A"/>
    <w:rsid w:val="00E62338"/>
    <w:rsid w:val="00E63553"/>
    <w:rsid w:val="00E635F4"/>
    <w:rsid w:val="00E63F9A"/>
    <w:rsid w:val="00E64242"/>
    <w:rsid w:val="00E64280"/>
    <w:rsid w:val="00E64389"/>
    <w:rsid w:val="00E645B0"/>
    <w:rsid w:val="00E64612"/>
    <w:rsid w:val="00E64821"/>
    <w:rsid w:val="00E65419"/>
    <w:rsid w:val="00E6569A"/>
    <w:rsid w:val="00E66260"/>
    <w:rsid w:val="00E66455"/>
    <w:rsid w:val="00E669A8"/>
    <w:rsid w:val="00E66A98"/>
    <w:rsid w:val="00E66F56"/>
    <w:rsid w:val="00E670E3"/>
    <w:rsid w:val="00E6716E"/>
    <w:rsid w:val="00E672EC"/>
    <w:rsid w:val="00E678EC"/>
    <w:rsid w:val="00E678F7"/>
    <w:rsid w:val="00E67AA2"/>
    <w:rsid w:val="00E70034"/>
    <w:rsid w:val="00E70299"/>
    <w:rsid w:val="00E702AC"/>
    <w:rsid w:val="00E704DB"/>
    <w:rsid w:val="00E71063"/>
    <w:rsid w:val="00E712C5"/>
    <w:rsid w:val="00E72197"/>
    <w:rsid w:val="00E724A4"/>
    <w:rsid w:val="00E72637"/>
    <w:rsid w:val="00E72C2E"/>
    <w:rsid w:val="00E7308D"/>
    <w:rsid w:val="00E736D1"/>
    <w:rsid w:val="00E73B1F"/>
    <w:rsid w:val="00E73C7F"/>
    <w:rsid w:val="00E7400B"/>
    <w:rsid w:val="00E7453A"/>
    <w:rsid w:val="00E74E63"/>
    <w:rsid w:val="00E753D2"/>
    <w:rsid w:val="00E75580"/>
    <w:rsid w:val="00E75800"/>
    <w:rsid w:val="00E75B79"/>
    <w:rsid w:val="00E75EA5"/>
    <w:rsid w:val="00E767E5"/>
    <w:rsid w:val="00E76C09"/>
    <w:rsid w:val="00E779B7"/>
    <w:rsid w:val="00E77A64"/>
    <w:rsid w:val="00E77A79"/>
    <w:rsid w:val="00E77BB2"/>
    <w:rsid w:val="00E77CB2"/>
    <w:rsid w:val="00E80BE1"/>
    <w:rsid w:val="00E80F28"/>
    <w:rsid w:val="00E80F80"/>
    <w:rsid w:val="00E811A5"/>
    <w:rsid w:val="00E81BF5"/>
    <w:rsid w:val="00E82656"/>
    <w:rsid w:val="00E82660"/>
    <w:rsid w:val="00E826E6"/>
    <w:rsid w:val="00E82ACB"/>
    <w:rsid w:val="00E82ADC"/>
    <w:rsid w:val="00E82AF2"/>
    <w:rsid w:val="00E8318F"/>
    <w:rsid w:val="00E836CD"/>
    <w:rsid w:val="00E846A3"/>
    <w:rsid w:val="00E846F8"/>
    <w:rsid w:val="00E8506D"/>
    <w:rsid w:val="00E854F4"/>
    <w:rsid w:val="00E85BBF"/>
    <w:rsid w:val="00E85F71"/>
    <w:rsid w:val="00E868D4"/>
    <w:rsid w:val="00E87208"/>
    <w:rsid w:val="00E8761E"/>
    <w:rsid w:val="00E87655"/>
    <w:rsid w:val="00E877AE"/>
    <w:rsid w:val="00E87DD3"/>
    <w:rsid w:val="00E900C4"/>
    <w:rsid w:val="00E913B5"/>
    <w:rsid w:val="00E91975"/>
    <w:rsid w:val="00E91BC4"/>
    <w:rsid w:val="00E92063"/>
    <w:rsid w:val="00E92762"/>
    <w:rsid w:val="00E92B9C"/>
    <w:rsid w:val="00E92E38"/>
    <w:rsid w:val="00E94C6A"/>
    <w:rsid w:val="00E952C7"/>
    <w:rsid w:val="00E9536D"/>
    <w:rsid w:val="00E96044"/>
    <w:rsid w:val="00E96979"/>
    <w:rsid w:val="00E96A34"/>
    <w:rsid w:val="00E97769"/>
    <w:rsid w:val="00E97A27"/>
    <w:rsid w:val="00E97D58"/>
    <w:rsid w:val="00EA031E"/>
    <w:rsid w:val="00EA0479"/>
    <w:rsid w:val="00EA086F"/>
    <w:rsid w:val="00EA0899"/>
    <w:rsid w:val="00EA0B59"/>
    <w:rsid w:val="00EA0E43"/>
    <w:rsid w:val="00EA0F56"/>
    <w:rsid w:val="00EA0FD5"/>
    <w:rsid w:val="00EA13BA"/>
    <w:rsid w:val="00EA1662"/>
    <w:rsid w:val="00EA1BC3"/>
    <w:rsid w:val="00EA1F56"/>
    <w:rsid w:val="00EA2618"/>
    <w:rsid w:val="00EA265B"/>
    <w:rsid w:val="00EA3134"/>
    <w:rsid w:val="00EA34D1"/>
    <w:rsid w:val="00EA35C7"/>
    <w:rsid w:val="00EA37AC"/>
    <w:rsid w:val="00EA3F5B"/>
    <w:rsid w:val="00EA446F"/>
    <w:rsid w:val="00EA48C8"/>
    <w:rsid w:val="00EA4ED8"/>
    <w:rsid w:val="00EA5453"/>
    <w:rsid w:val="00EA566E"/>
    <w:rsid w:val="00EA5801"/>
    <w:rsid w:val="00EA5D79"/>
    <w:rsid w:val="00EA6959"/>
    <w:rsid w:val="00EA6C6E"/>
    <w:rsid w:val="00EA6D15"/>
    <w:rsid w:val="00EA776C"/>
    <w:rsid w:val="00EA7B3F"/>
    <w:rsid w:val="00EA7EA2"/>
    <w:rsid w:val="00EB03E4"/>
    <w:rsid w:val="00EB0990"/>
    <w:rsid w:val="00EB09C9"/>
    <w:rsid w:val="00EB16B2"/>
    <w:rsid w:val="00EB2532"/>
    <w:rsid w:val="00EB2ED8"/>
    <w:rsid w:val="00EB341D"/>
    <w:rsid w:val="00EB3740"/>
    <w:rsid w:val="00EB39B4"/>
    <w:rsid w:val="00EB3DA7"/>
    <w:rsid w:val="00EB3EE7"/>
    <w:rsid w:val="00EB401F"/>
    <w:rsid w:val="00EB46D7"/>
    <w:rsid w:val="00EB50F0"/>
    <w:rsid w:val="00EB556F"/>
    <w:rsid w:val="00EB564D"/>
    <w:rsid w:val="00EB58A5"/>
    <w:rsid w:val="00EB62B8"/>
    <w:rsid w:val="00EB63C9"/>
    <w:rsid w:val="00EB6455"/>
    <w:rsid w:val="00EB6781"/>
    <w:rsid w:val="00EB6D9F"/>
    <w:rsid w:val="00EB74D7"/>
    <w:rsid w:val="00EB78D8"/>
    <w:rsid w:val="00EB79E1"/>
    <w:rsid w:val="00EB7AAE"/>
    <w:rsid w:val="00EB7FCE"/>
    <w:rsid w:val="00EC0050"/>
    <w:rsid w:val="00EC08ED"/>
    <w:rsid w:val="00EC0EC0"/>
    <w:rsid w:val="00EC1BCA"/>
    <w:rsid w:val="00EC1DE0"/>
    <w:rsid w:val="00EC20F5"/>
    <w:rsid w:val="00EC2B98"/>
    <w:rsid w:val="00EC2D64"/>
    <w:rsid w:val="00EC377F"/>
    <w:rsid w:val="00EC3BE2"/>
    <w:rsid w:val="00EC42EE"/>
    <w:rsid w:val="00EC483D"/>
    <w:rsid w:val="00EC48D1"/>
    <w:rsid w:val="00EC4F70"/>
    <w:rsid w:val="00EC56BD"/>
    <w:rsid w:val="00EC59A0"/>
    <w:rsid w:val="00EC6165"/>
    <w:rsid w:val="00EC61C9"/>
    <w:rsid w:val="00EC6518"/>
    <w:rsid w:val="00EC696C"/>
    <w:rsid w:val="00EC6C38"/>
    <w:rsid w:val="00EC707B"/>
    <w:rsid w:val="00EC73DF"/>
    <w:rsid w:val="00ED039D"/>
    <w:rsid w:val="00ED0939"/>
    <w:rsid w:val="00ED0C60"/>
    <w:rsid w:val="00ED0F6D"/>
    <w:rsid w:val="00ED1613"/>
    <w:rsid w:val="00ED204B"/>
    <w:rsid w:val="00ED21FE"/>
    <w:rsid w:val="00ED23A2"/>
    <w:rsid w:val="00ED279E"/>
    <w:rsid w:val="00ED2A9C"/>
    <w:rsid w:val="00ED36A7"/>
    <w:rsid w:val="00ED40E2"/>
    <w:rsid w:val="00ED44B9"/>
    <w:rsid w:val="00ED5D6B"/>
    <w:rsid w:val="00ED6F01"/>
    <w:rsid w:val="00ED71F1"/>
    <w:rsid w:val="00ED7CE7"/>
    <w:rsid w:val="00EE02A3"/>
    <w:rsid w:val="00EE0986"/>
    <w:rsid w:val="00EE0B19"/>
    <w:rsid w:val="00EE0F99"/>
    <w:rsid w:val="00EE1031"/>
    <w:rsid w:val="00EE10E0"/>
    <w:rsid w:val="00EE1921"/>
    <w:rsid w:val="00EE2080"/>
    <w:rsid w:val="00EE271C"/>
    <w:rsid w:val="00EE28D7"/>
    <w:rsid w:val="00EE2967"/>
    <w:rsid w:val="00EE2B46"/>
    <w:rsid w:val="00EE38C8"/>
    <w:rsid w:val="00EE3F9E"/>
    <w:rsid w:val="00EE43F3"/>
    <w:rsid w:val="00EE48F5"/>
    <w:rsid w:val="00EE4CEF"/>
    <w:rsid w:val="00EE52DF"/>
    <w:rsid w:val="00EE5E93"/>
    <w:rsid w:val="00EE74F3"/>
    <w:rsid w:val="00EE754C"/>
    <w:rsid w:val="00EF04A8"/>
    <w:rsid w:val="00EF0908"/>
    <w:rsid w:val="00EF0D50"/>
    <w:rsid w:val="00EF1150"/>
    <w:rsid w:val="00EF1519"/>
    <w:rsid w:val="00EF1700"/>
    <w:rsid w:val="00EF1944"/>
    <w:rsid w:val="00EF2AD4"/>
    <w:rsid w:val="00EF30F5"/>
    <w:rsid w:val="00EF3CDA"/>
    <w:rsid w:val="00EF44D2"/>
    <w:rsid w:val="00EF5115"/>
    <w:rsid w:val="00EF516A"/>
    <w:rsid w:val="00EF520C"/>
    <w:rsid w:val="00EF529C"/>
    <w:rsid w:val="00EF5607"/>
    <w:rsid w:val="00EF56A1"/>
    <w:rsid w:val="00EF5A18"/>
    <w:rsid w:val="00EF5CE1"/>
    <w:rsid w:val="00EF6349"/>
    <w:rsid w:val="00EF74BC"/>
    <w:rsid w:val="00EF77B2"/>
    <w:rsid w:val="00EF79D0"/>
    <w:rsid w:val="00EF7ADD"/>
    <w:rsid w:val="00EF7C1C"/>
    <w:rsid w:val="00EF7DD6"/>
    <w:rsid w:val="00F00847"/>
    <w:rsid w:val="00F00B41"/>
    <w:rsid w:val="00F00BC5"/>
    <w:rsid w:val="00F00EB9"/>
    <w:rsid w:val="00F01177"/>
    <w:rsid w:val="00F01A45"/>
    <w:rsid w:val="00F01B5B"/>
    <w:rsid w:val="00F02359"/>
    <w:rsid w:val="00F0284F"/>
    <w:rsid w:val="00F0285B"/>
    <w:rsid w:val="00F02A14"/>
    <w:rsid w:val="00F03212"/>
    <w:rsid w:val="00F03487"/>
    <w:rsid w:val="00F03B21"/>
    <w:rsid w:val="00F03D5A"/>
    <w:rsid w:val="00F04DD5"/>
    <w:rsid w:val="00F04E67"/>
    <w:rsid w:val="00F04F2F"/>
    <w:rsid w:val="00F050D9"/>
    <w:rsid w:val="00F058A4"/>
    <w:rsid w:val="00F058D6"/>
    <w:rsid w:val="00F065FD"/>
    <w:rsid w:val="00F06B59"/>
    <w:rsid w:val="00F06CC2"/>
    <w:rsid w:val="00F07271"/>
    <w:rsid w:val="00F078D4"/>
    <w:rsid w:val="00F07B76"/>
    <w:rsid w:val="00F07DEF"/>
    <w:rsid w:val="00F10A52"/>
    <w:rsid w:val="00F11587"/>
    <w:rsid w:val="00F11909"/>
    <w:rsid w:val="00F11A28"/>
    <w:rsid w:val="00F11FAB"/>
    <w:rsid w:val="00F12291"/>
    <w:rsid w:val="00F138AD"/>
    <w:rsid w:val="00F13EB6"/>
    <w:rsid w:val="00F148A4"/>
    <w:rsid w:val="00F153ED"/>
    <w:rsid w:val="00F1560E"/>
    <w:rsid w:val="00F1579F"/>
    <w:rsid w:val="00F158F8"/>
    <w:rsid w:val="00F15F18"/>
    <w:rsid w:val="00F164B3"/>
    <w:rsid w:val="00F16D67"/>
    <w:rsid w:val="00F16F6B"/>
    <w:rsid w:val="00F17580"/>
    <w:rsid w:val="00F17897"/>
    <w:rsid w:val="00F17A04"/>
    <w:rsid w:val="00F17BDF"/>
    <w:rsid w:val="00F20273"/>
    <w:rsid w:val="00F20B35"/>
    <w:rsid w:val="00F21081"/>
    <w:rsid w:val="00F21388"/>
    <w:rsid w:val="00F2140B"/>
    <w:rsid w:val="00F21581"/>
    <w:rsid w:val="00F2197B"/>
    <w:rsid w:val="00F219EB"/>
    <w:rsid w:val="00F225A3"/>
    <w:rsid w:val="00F225ED"/>
    <w:rsid w:val="00F22898"/>
    <w:rsid w:val="00F236A1"/>
    <w:rsid w:val="00F236A2"/>
    <w:rsid w:val="00F23B0C"/>
    <w:rsid w:val="00F24137"/>
    <w:rsid w:val="00F24215"/>
    <w:rsid w:val="00F2424F"/>
    <w:rsid w:val="00F24437"/>
    <w:rsid w:val="00F2485E"/>
    <w:rsid w:val="00F24A31"/>
    <w:rsid w:val="00F2544C"/>
    <w:rsid w:val="00F263BC"/>
    <w:rsid w:val="00F27308"/>
    <w:rsid w:val="00F273B9"/>
    <w:rsid w:val="00F27603"/>
    <w:rsid w:val="00F3006C"/>
    <w:rsid w:val="00F3099A"/>
    <w:rsid w:val="00F30DFD"/>
    <w:rsid w:val="00F31104"/>
    <w:rsid w:val="00F31E50"/>
    <w:rsid w:val="00F32EE3"/>
    <w:rsid w:val="00F3371E"/>
    <w:rsid w:val="00F33A2E"/>
    <w:rsid w:val="00F33DF9"/>
    <w:rsid w:val="00F33EE6"/>
    <w:rsid w:val="00F3410F"/>
    <w:rsid w:val="00F34863"/>
    <w:rsid w:val="00F34A58"/>
    <w:rsid w:val="00F34BBC"/>
    <w:rsid w:val="00F34F20"/>
    <w:rsid w:val="00F35956"/>
    <w:rsid w:val="00F359A9"/>
    <w:rsid w:val="00F35AFA"/>
    <w:rsid w:val="00F35C6D"/>
    <w:rsid w:val="00F36AEB"/>
    <w:rsid w:val="00F36E38"/>
    <w:rsid w:val="00F37230"/>
    <w:rsid w:val="00F37A66"/>
    <w:rsid w:val="00F37FC1"/>
    <w:rsid w:val="00F405F8"/>
    <w:rsid w:val="00F40600"/>
    <w:rsid w:val="00F4077C"/>
    <w:rsid w:val="00F40DB6"/>
    <w:rsid w:val="00F41194"/>
    <w:rsid w:val="00F4141C"/>
    <w:rsid w:val="00F417AA"/>
    <w:rsid w:val="00F41AB8"/>
    <w:rsid w:val="00F42408"/>
    <w:rsid w:val="00F42B6B"/>
    <w:rsid w:val="00F42DC5"/>
    <w:rsid w:val="00F42E10"/>
    <w:rsid w:val="00F4362D"/>
    <w:rsid w:val="00F43E46"/>
    <w:rsid w:val="00F4416B"/>
    <w:rsid w:val="00F44CC6"/>
    <w:rsid w:val="00F453D5"/>
    <w:rsid w:val="00F458C7"/>
    <w:rsid w:val="00F45A2D"/>
    <w:rsid w:val="00F46BC6"/>
    <w:rsid w:val="00F46ECF"/>
    <w:rsid w:val="00F474A5"/>
    <w:rsid w:val="00F50837"/>
    <w:rsid w:val="00F50C8A"/>
    <w:rsid w:val="00F510E7"/>
    <w:rsid w:val="00F52218"/>
    <w:rsid w:val="00F52436"/>
    <w:rsid w:val="00F52527"/>
    <w:rsid w:val="00F5270F"/>
    <w:rsid w:val="00F52DFB"/>
    <w:rsid w:val="00F535E9"/>
    <w:rsid w:val="00F53978"/>
    <w:rsid w:val="00F53D8A"/>
    <w:rsid w:val="00F545BA"/>
    <w:rsid w:val="00F5468C"/>
    <w:rsid w:val="00F54DEE"/>
    <w:rsid w:val="00F54E29"/>
    <w:rsid w:val="00F5532E"/>
    <w:rsid w:val="00F556E7"/>
    <w:rsid w:val="00F55BC5"/>
    <w:rsid w:val="00F55D61"/>
    <w:rsid w:val="00F55ECA"/>
    <w:rsid w:val="00F56A15"/>
    <w:rsid w:val="00F56B8E"/>
    <w:rsid w:val="00F56CA0"/>
    <w:rsid w:val="00F56F10"/>
    <w:rsid w:val="00F56F90"/>
    <w:rsid w:val="00F57220"/>
    <w:rsid w:val="00F57DAF"/>
    <w:rsid w:val="00F608C2"/>
    <w:rsid w:val="00F60E5F"/>
    <w:rsid w:val="00F611CD"/>
    <w:rsid w:val="00F6221B"/>
    <w:rsid w:val="00F62522"/>
    <w:rsid w:val="00F6275C"/>
    <w:rsid w:val="00F629D9"/>
    <w:rsid w:val="00F62BA2"/>
    <w:rsid w:val="00F6363F"/>
    <w:rsid w:val="00F63822"/>
    <w:rsid w:val="00F638D4"/>
    <w:rsid w:val="00F63D70"/>
    <w:rsid w:val="00F63F77"/>
    <w:rsid w:val="00F65041"/>
    <w:rsid w:val="00F651B3"/>
    <w:rsid w:val="00F655AB"/>
    <w:rsid w:val="00F65653"/>
    <w:rsid w:val="00F65C60"/>
    <w:rsid w:val="00F65FA9"/>
    <w:rsid w:val="00F65FD3"/>
    <w:rsid w:val="00F667F1"/>
    <w:rsid w:val="00F66941"/>
    <w:rsid w:val="00F669B4"/>
    <w:rsid w:val="00F66B11"/>
    <w:rsid w:val="00F674B9"/>
    <w:rsid w:val="00F70148"/>
    <w:rsid w:val="00F70921"/>
    <w:rsid w:val="00F70A0E"/>
    <w:rsid w:val="00F712AD"/>
    <w:rsid w:val="00F713CF"/>
    <w:rsid w:val="00F718DB"/>
    <w:rsid w:val="00F71EA8"/>
    <w:rsid w:val="00F71FB6"/>
    <w:rsid w:val="00F72238"/>
    <w:rsid w:val="00F723BF"/>
    <w:rsid w:val="00F7278A"/>
    <w:rsid w:val="00F729D4"/>
    <w:rsid w:val="00F72A2B"/>
    <w:rsid w:val="00F731B5"/>
    <w:rsid w:val="00F73B01"/>
    <w:rsid w:val="00F73F95"/>
    <w:rsid w:val="00F73FAF"/>
    <w:rsid w:val="00F7416C"/>
    <w:rsid w:val="00F74BA4"/>
    <w:rsid w:val="00F75067"/>
    <w:rsid w:val="00F751C2"/>
    <w:rsid w:val="00F75211"/>
    <w:rsid w:val="00F7545E"/>
    <w:rsid w:val="00F75551"/>
    <w:rsid w:val="00F7561A"/>
    <w:rsid w:val="00F7610B"/>
    <w:rsid w:val="00F76322"/>
    <w:rsid w:val="00F76669"/>
    <w:rsid w:val="00F76E70"/>
    <w:rsid w:val="00F76F31"/>
    <w:rsid w:val="00F77290"/>
    <w:rsid w:val="00F800D4"/>
    <w:rsid w:val="00F8047F"/>
    <w:rsid w:val="00F807D9"/>
    <w:rsid w:val="00F80A54"/>
    <w:rsid w:val="00F80C82"/>
    <w:rsid w:val="00F80D47"/>
    <w:rsid w:val="00F80E6D"/>
    <w:rsid w:val="00F8139C"/>
    <w:rsid w:val="00F819F8"/>
    <w:rsid w:val="00F81A12"/>
    <w:rsid w:val="00F81C97"/>
    <w:rsid w:val="00F81DDF"/>
    <w:rsid w:val="00F82943"/>
    <w:rsid w:val="00F8352F"/>
    <w:rsid w:val="00F8374C"/>
    <w:rsid w:val="00F83B3E"/>
    <w:rsid w:val="00F83F22"/>
    <w:rsid w:val="00F840BB"/>
    <w:rsid w:val="00F842AB"/>
    <w:rsid w:val="00F84CBD"/>
    <w:rsid w:val="00F85A0C"/>
    <w:rsid w:val="00F861E4"/>
    <w:rsid w:val="00F86220"/>
    <w:rsid w:val="00F86DDB"/>
    <w:rsid w:val="00F86F45"/>
    <w:rsid w:val="00F8714D"/>
    <w:rsid w:val="00F87354"/>
    <w:rsid w:val="00F877EF"/>
    <w:rsid w:val="00F877F6"/>
    <w:rsid w:val="00F90090"/>
    <w:rsid w:val="00F90792"/>
    <w:rsid w:val="00F908A9"/>
    <w:rsid w:val="00F90E2D"/>
    <w:rsid w:val="00F9152F"/>
    <w:rsid w:val="00F915E9"/>
    <w:rsid w:val="00F91671"/>
    <w:rsid w:val="00F928E5"/>
    <w:rsid w:val="00F92E27"/>
    <w:rsid w:val="00F933B1"/>
    <w:rsid w:val="00F939D7"/>
    <w:rsid w:val="00F93A1F"/>
    <w:rsid w:val="00F93D74"/>
    <w:rsid w:val="00F94078"/>
    <w:rsid w:val="00F94586"/>
    <w:rsid w:val="00F95229"/>
    <w:rsid w:val="00F95946"/>
    <w:rsid w:val="00F966C5"/>
    <w:rsid w:val="00F973BC"/>
    <w:rsid w:val="00F97677"/>
    <w:rsid w:val="00F977DA"/>
    <w:rsid w:val="00F97928"/>
    <w:rsid w:val="00F97C14"/>
    <w:rsid w:val="00FA0735"/>
    <w:rsid w:val="00FA09E8"/>
    <w:rsid w:val="00FA0A08"/>
    <w:rsid w:val="00FA0C47"/>
    <w:rsid w:val="00FA0F2D"/>
    <w:rsid w:val="00FA17E4"/>
    <w:rsid w:val="00FA1AA5"/>
    <w:rsid w:val="00FA1B04"/>
    <w:rsid w:val="00FA24FF"/>
    <w:rsid w:val="00FA25F7"/>
    <w:rsid w:val="00FA2A79"/>
    <w:rsid w:val="00FA2EBC"/>
    <w:rsid w:val="00FA301D"/>
    <w:rsid w:val="00FA34D4"/>
    <w:rsid w:val="00FA3597"/>
    <w:rsid w:val="00FA41E3"/>
    <w:rsid w:val="00FA4254"/>
    <w:rsid w:val="00FA5A34"/>
    <w:rsid w:val="00FA5BE8"/>
    <w:rsid w:val="00FA6026"/>
    <w:rsid w:val="00FA61F6"/>
    <w:rsid w:val="00FA6423"/>
    <w:rsid w:val="00FA66A4"/>
    <w:rsid w:val="00FA675E"/>
    <w:rsid w:val="00FA6976"/>
    <w:rsid w:val="00FA6C56"/>
    <w:rsid w:val="00FA7128"/>
    <w:rsid w:val="00FA7268"/>
    <w:rsid w:val="00FA7389"/>
    <w:rsid w:val="00FA7929"/>
    <w:rsid w:val="00FA7AEC"/>
    <w:rsid w:val="00FA7D9C"/>
    <w:rsid w:val="00FA7EEB"/>
    <w:rsid w:val="00FB069A"/>
    <w:rsid w:val="00FB0804"/>
    <w:rsid w:val="00FB09D6"/>
    <w:rsid w:val="00FB0C9C"/>
    <w:rsid w:val="00FB1736"/>
    <w:rsid w:val="00FB1DB9"/>
    <w:rsid w:val="00FB2271"/>
    <w:rsid w:val="00FB2BD6"/>
    <w:rsid w:val="00FB2E05"/>
    <w:rsid w:val="00FB2E26"/>
    <w:rsid w:val="00FB33E8"/>
    <w:rsid w:val="00FB35CD"/>
    <w:rsid w:val="00FB3AA2"/>
    <w:rsid w:val="00FB3E3E"/>
    <w:rsid w:val="00FB4C3F"/>
    <w:rsid w:val="00FB5486"/>
    <w:rsid w:val="00FB5489"/>
    <w:rsid w:val="00FB563E"/>
    <w:rsid w:val="00FB632F"/>
    <w:rsid w:val="00FB68A7"/>
    <w:rsid w:val="00FB6C61"/>
    <w:rsid w:val="00FB71FB"/>
    <w:rsid w:val="00FB7FD4"/>
    <w:rsid w:val="00FC0584"/>
    <w:rsid w:val="00FC0605"/>
    <w:rsid w:val="00FC0740"/>
    <w:rsid w:val="00FC1028"/>
    <w:rsid w:val="00FC1466"/>
    <w:rsid w:val="00FC1A82"/>
    <w:rsid w:val="00FC1D1F"/>
    <w:rsid w:val="00FC2222"/>
    <w:rsid w:val="00FC2A96"/>
    <w:rsid w:val="00FC2D03"/>
    <w:rsid w:val="00FC2EA8"/>
    <w:rsid w:val="00FC2F94"/>
    <w:rsid w:val="00FC3031"/>
    <w:rsid w:val="00FC3EA0"/>
    <w:rsid w:val="00FC3FF1"/>
    <w:rsid w:val="00FC41F6"/>
    <w:rsid w:val="00FC4688"/>
    <w:rsid w:val="00FC4E7D"/>
    <w:rsid w:val="00FC5031"/>
    <w:rsid w:val="00FC5691"/>
    <w:rsid w:val="00FC56A7"/>
    <w:rsid w:val="00FC5BF8"/>
    <w:rsid w:val="00FC61AD"/>
    <w:rsid w:val="00FC61DE"/>
    <w:rsid w:val="00FC707F"/>
    <w:rsid w:val="00FC7686"/>
    <w:rsid w:val="00FC76DA"/>
    <w:rsid w:val="00FC79F7"/>
    <w:rsid w:val="00FC7C09"/>
    <w:rsid w:val="00FD056F"/>
    <w:rsid w:val="00FD05D9"/>
    <w:rsid w:val="00FD07D3"/>
    <w:rsid w:val="00FD0AA4"/>
    <w:rsid w:val="00FD0BBB"/>
    <w:rsid w:val="00FD0CEE"/>
    <w:rsid w:val="00FD121D"/>
    <w:rsid w:val="00FD1506"/>
    <w:rsid w:val="00FD163F"/>
    <w:rsid w:val="00FD180C"/>
    <w:rsid w:val="00FD1DAE"/>
    <w:rsid w:val="00FD2278"/>
    <w:rsid w:val="00FD24D0"/>
    <w:rsid w:val="00FD27E6"/>
    <w:rsid w:val="00FD2F00"/>
    <w:rsid w:val="00FD2FF2"/>
    <w:rsid w:val="00FD3179"/>
    <w:rsid w:val="00FD35DF"/>
    <w:rsid w:val="00FD42FD"/>
    <w:rsid w:val="00FD49BE"/>
    <w:rsid w:val="00FD51B7"/>
    <w:rsid w:val="00FD5AF6"/>
    <w:rsid w:val="00FD65BA"/>
    <w:rsid w:val="00FD68CD"/>
    <w:rsid w:val="00FD6BC0"/>
    <w:rsid w:val="00FD6D59"/>
    <w:rsid w:val="00FD7002"/>
    <w:rsid w:val="00FD7710"/>
    <w:rsid w:val="00FD7C3D"/>
    <w:rsid w:val="00FE0C4F"/>
    <w:rsid w:val="00FE197B"/>
    <w:rsid w:val="00FE1A47"/>
    <w:rsid w:val="00FE1B24"/>
    <w:rsid w:val="00FE2E9A"/>
    <w:rsid w:val="00FE3171"/>
    <w:rsid w:val="00FE34E4"/>
    <w:rsid w:val="00FE3BAD"/>
    <w:rsid w:val="00FE3E59"/>
    <w:rsid w:val="00FE4081"/>
    <w:rsid w:val="00FE4BB6"/>
    <w:rsid w:val="00FE4D0B"/>
    <w:rsid w:val="00FE4DBA"/>
    <w:rsid w:val="00FE4F9B"/>
    <w:rsid w:val="00FE5345"/>
    <w:rsid w:val="00FE553F"/>
    <w:rsid w:val="00FE5E9F"/>
    <w:rsid w:val="00FE5F9F"/>
    <w:rsid w:val="00FE7273"/>
    <w:rsid w:val="00FE7391"/>
    <w:rsid w:val="00FE7DB8"/>
    <w:rsid w:val="00FF0208"/>
    <w:rsid w:val="00FF04B9"/>
    <w:rsid w:val="00FF09A2"/>
    <w:rsid w:val="00FF0BD5"/>
    <w:rsid w:val="00FF160F"/>
    <w:rsid w:val="00FF24DE"/>
    <w:rsid w:val="00FF2B8E"/>
    <w:rsid w:val="00FF3506"/>
    <w:rsid w:val="00FF37E1"/>
    <w:rsid w:val="00FF39C1"/>
    <w:rsid w:val="00FF4DB4"/>
    <w:rsid w:val="00FF503F"/>
    <w:rsid w:val="00FF5104"/>
    <w:rsid w:val="00FF596C"/>
    <w:rsid w:val="00FF5A1A"/>
    <w:rsid w:val="00FF5BBD"/>
    <w:rsid w:val="00FF5C98"/>
    <w:rsid w:val="00FF5F73"/>
    <w:rsid w:val="00FF624B"/>
    <w:rsid w:val="00FF69CA"/>
    <w:rsid w:val="00FF6B98"/>
    <w:rsid w:val="00FF7B30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2691EF"/>
  <w15:docId w15:val="{3D98A53F-5F61-4B62-A335-99F32B032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D61"/>
    <w:pPr>
      <w:spacing w:after="0" w:line="240" w:lineRule="auto"/>
      <w:jc w:val="both"/>
    </w:pPr>
    <w:rPr>
      <w:rFonts w:ascii="Times New Roman" w:eastAsiaTheme="minorEastAsia" w:hAnsi="Times New Roman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325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64BA9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C047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064B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E97769"/>
    <w:pPr>
      <w:ind w:left="720"/>
      <w:contextualSpacing/>
    </w:pPr>
    <w:rPr>
      <w:rFonts w:eastAsiaTheme="minorHAnsi"/>
      <w:sz w:val="16"/>
      <w:szCs w:val="22"/>
      <w:lang w:eastAsia="en-US"/>
    </w:rPr>
  </w:style>
  <w:style w:type="paragraph" w:customStyle="1" w:styleId="Default">
    <w:name w:val="Default"/>
    <w:rsid w:val="00D435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D43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D68CD"/>
    <w:pPr>
      <w:spacing w:before="100" w:beforeAutospacing="1" w:after="100" w:afterAutospacing="1"/>
    </w:pPr>
    <w:rPr>
      <w:rFonts w:cs="Times New Roman"/>
      <w:lang w:eastAsia="es-G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B5E1C"/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B5E1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B5E1C"/>
    <w:rPr>
      <w:vertAlign w:val="superscript"/>
    </w:rPr>
  </w:style>
  <w:style w:type="table" w:styleId="Cuadrculaclara-nfasis1">
    <w:name w:val="Light Grid Accent 1"/>
    <w:basedOn w:val="Tablanormal"/>
    <w:uiPriority w:val="62"/>
    <w:rsid w:val="000B5E1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-nfasis5">
    <w:name w:val="Light Shading Accent 5"/>
    <w:basedOn w:val="Tablanormal"/>
    <w:uiPriority w:val="60"/>
    <w:rsid w:val="000B5E1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Sinespaciado">
    <w:name w:val="No Spacing"/>
    <w:link w:val="SinespaciadoCar"/>
    <w:uiPriority w:val="1"/>
    <w:qFormat/>
    <w:rsid w:val="000B5E1C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B5E1C"/>
  </w:style>
  <w:style w:type="paragraph" w:styleId="Ttulo">
    <w:name w:val="Title"/>
    <w:basedOn w:val="Normal"/>
    <w:next w:val="Normal"/>
    <w:link w:val="TtuloCar"/>
    <w:uiPriority w:val="10"/>
    <w:qFormat/>
    <w:rsid w:val="0032588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GT"/>
    </w:rPr>
  </w:style>
  <w:style w:type="character" w:customStyle="1" w:styleId="TtuloCar">
    <w:name w:val="Título Car"/>
    <w:basedOn w:val="Fuentedeprrafopredeter"/>
    <w:link w:val="Ttulo"/>
    <w:uiPriority w:val="10"/>
    <w:rsid w:val="003258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GT"/>
    </w:rPr>
  </w:style>
  <w:style w:type="paragraph" w:styleId="Subttulo">
    <w:name w:val="Subtitle"/>
    <w:basedOn w:val="Normal"/>
    <w:next w:val="Normal"/>
    <w:link w:val="SubttuloCar"/>
    <w:uiPriority w:val="11"/>
    <w:qFormat/>
    <w:rsid w:val="0032588B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eastAsia="es-GT"/>
    </w:rPr>
  </w:style>
  <w:style w:type="character" w:customStyle="1" w:styleId="SubttuloCar">
    <w:name w:val="Subtítulo Car"/>
    <w:basedOn w:val="Fuentedeprrafopredeter"/>
    <w:link w:val="Subttulo"/>
    <w:uiPriority w:val="11"/>
    <w:rsid w:val="003258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GT"/>
    </w:rPr>
  </w:style>
  <w:style w:type="character" w:customStyle="1" w:styleId="Ttulo1Car">
    <w:name w:val="Título 1 Car"/>
    <w:basedOn w:val="Fuentedeprrafopredeter"/>
    <w:link w:val="Ttulo1"/>
    <w:uiPriority w:val="9"/>
    <w:rsid w:val="00325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 w:eastAsia="es-E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2588B"/>
    <w:pPr>
      <w:spacing w:line="276" w:lineRule="auto"/>
      <w:outlineLvl w:val="9"/>
    </w:pPr>
    <w:rPr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594050"/>
    <w:pPr>
      <w:tabs>
        <w:tab w:val="left" w:pos="440"/>
        <w:tab w:val="right" w:leader="dot" w:pos="9394"/>
      </w:tabs>
      <w:spacing w:after="100"/>
    </w:pPr>
    <w:rPr>
      <w:rFonts w:eastAsiaTheme="majorEastAsia" w:cs="Times New Roman"/>
      <w:b/>
      <w:bCs/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54409D"/>
    <w:pPr>
      <w:tabs>
        <w:tab w:val="left" w:pos="880"/>
        <w:tab w:val="right" w:leader="dot" w:pos="9356"/>
      </w:tabs>
      <w:spacing w:after="100"/>
      <w:ind w:left="709" w:hanging="567"/>
    </w:pPr>
  </w:style>
  <w:style w:type="character" w:styleId="Hipervnculo">
    <w:name w:val="Hyperlink"/>
    <w:basedOn w:val="Fuentedeprrafopredeter"/>
    <w:uiPriority w:val="99"/>
    <w:unhideWhenUsed/>
    <w:rsid w:val="0032588B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C45C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C45C7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AC45C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45C7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793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7931"/>
    <w:rPr>
      <w:rFonts w:ascii="Tahoma" w:eastAsiaTheme="minorEastAsia" w:hAnsi="Tahoma" w:cs="Tahoma"/>
      <w:sz w:val="16"/>
      <w:szCs w:val="16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C047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_tradnl" w:eastAsia="es-ES"/>
    </w:rPr>
  </w:style>
  <w:style w:type="paragraph" w:customStyle="1" w:styleId="Ttulo11">
    <w:name w:val="Título 11"/>
    <w:basedOn w:val="Normal"/>
    <w:rsid w:val="000C0470"/>
    <w:pPr>
      <w:numPr>
        <w:numId w:val="23"/>
      </w:numPr>
    </w:pPr>
  </w:style>
  <w:style w:type="paragraph" w:customStyle="1" w:styleId="Ttulo21">
    <w:name w:val="Título 21"/>
    <w:basedOn w:val="Normal"/>
    <w:rsid w:val="000C0470"/>
    <w:pPr>
      <w:numPr>
        <w:ilvl w:val="1"/>
        <w:numId w:val="23"/>
      </w:numPr>
    </w:pPr>
  </w:style>
  <w:style w:type="paragraph" w:customStyle="1" w:styleId="Ttulo31">
    <w:name w:val="Título 31"/>
    <w:basedOn w:val="Normal"/>
    <w:rsid w:val="000C0470"/>
    <w:pPr>
      <w:numPr>
        <w:ilvl w:val="2"/>
        <w:numId w:val="23"/>
      </w:numPr>
    </w:pPr>
  </w:style>
  <w:style w:type="paragraph" w:customStyle="1" w:styleId="Ttulo41">
    <w:name w:val="Título 41"/>
    <w:basedOn w:val="Normal"/>
    <w:rsid w:val="000C0470"/>
    <w:pPr>
      <w:numPr>
        <w:ilvl w:val="3"/>
        <w:numId w:val="23"/>
      </w:numPr>
    </w:pPr>
  </w:style>
  <w:style w:type="paragraph" w:customStyle="1" w:styleId="Ttulo51">
    <w:name w:val="Título 51"/>
    <w:basedOn w:val="Normal"/>
    <w:rsid w:val="000C0470"/>
    <w:pPr>
      <w:numPr>
        <w:ilvl w:val="4"/>
        <w:numId w:val="23"/>
      </w:numPr>
    </w:pPr>
  </w:style>
  <w:style w:type="paragraph" w:customStyle="1" w:styleId="Ttulo61">
    <w:name w:val="Título 61"/>
    <w:basedOn w:val="Normal"/>
    <w:rsid w:val="000C0470"/>
    <w:pPr>
      <w:numPr>
        <w:ilvl w:val="5"/>
        <w:numId w:val="23"/>
      </w:numPr>
    </w:pPr>
  </w:style>
  <w:style w:type="paragraph" w:customStyle="1" w:styleId="Ttulo71">
    <w:name w:val="Título 71"/>
    <w:basedOn w:val="Normal"/>
    <w:rsid w:val="000C0470"/>
    <w:pPr>
      <w:numPr>
        <w:ilvl w:val="6"/>
        <w:numId w:val="23"/>
      </w:numPr>
    </w:pPr>
  </w:style>
  <w:style w:type="paragraph" w:customStyle="1" w:styleId="Ttulo81">
    <w:name w:val="Título 81"/>
    <w:basedOn w:val="Normal"/>
    <w:rsid w:val="000C0470"/>
    <w:pPr>
      <w:numPr>
        <w:ilvl w:val="7"/>
        <w:numId w:val="23"/>
      </w:numPr>
    </w:pPr>
  </w:style>
  <w:style w:type="paragraph" w:customStyle="1" w:styleId="Ttulo91">
    <w:name w:val="Título 91"/>
    <w:basedOn w:val="Normal"/>
    <w:rsid w:val="000C0470"/>
    <w:pPr>
      <w:numPr>
        <w:ilvl w:val="8"/>
        <w:numId w:val="23"/>
      </w:numPr>
    </w:pPr>
  </w:style>
  <w:style w:type="paragraph" w:styleId="TDC3">
    <w:name w:val="toc 3"/>
    <w:basedOn w:val="Normal"/>
    <w:next w:val="Normal"/>
    <w:autoRedefine/>
    <w:uiPriority w:val="39"/>
    <w:unhideWhenUsed/>
    <w:rsid w:val="0054409D"/>
    <w:pPr>
      <w:tabs>
        <w:tab w:val="left" w:pos="1134"/>
        <w:tab w:val="right" w:leader="dot" w:pos="9394"/>
      </w:tabs>
      <w:spacing w:after="100"/>
      <w:ind w:left="1134" w:hanging="708"/>
    </w:pPr>
  </w:style>
  <w:style w:type="paragraph" w:customStyle="1" w:styleId="BodyText2Sgl">
    <w:name w:val="Body Text 2 Sgl"/>
    <w:basedOn w:val="Normal"/>
    <w:qFormat/>
    <w:rsid w:val="00EE52DF"/>
    <w:pPr>
      <w:spacing w:after="240"/>
      <w:ind w:firstLine="720"/>
    </w:pPr>
    <w:rPr>
      <w:rFonts w:eastAsiaTheme="minorHAnsi"/>
      <w:sz w:val="20"/>
      <w:lang w:val="en-US"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EE52DF"/>
    <w:pPr>
      <w:spacing w:after="120" w:line="259" w:lineRule="auto"/>
    </w:pPr>
    <w:rPr>
      <w:rFonts w:eastAsiaTheme="minorHAnsi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E52DF"/>
  </w:style>
  <w:style w:type="character" w:styleId="Refdecomentario">
    <w:name w:val="annotation reference"/>
    <w:basedOn w:val="Fuentedeprrafopredeter"/>
    <w:uiPriority w:val="99"/>
    <w:semiHidden/>
    <w:unhideWhenUsed/>
    <w:rsid w:val="00082E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82E6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82E65"/>
    <w:rPr>
      <w:rFonts w:eastAsiaTheme="minorEastAsia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82E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82E65"/>
    <w:rPr>
      <w:rFonts w:eastAsiaTheme="minorEastAsia"/>
      <w:b/>
      <w:bCs/>
      <w:sz w:val="20"/>
      <w:szCs w:val="20"/>
      <w:lang w:val="es-ES_tradnl" w:eastAsia="es-ES"/>
    </w:rPr>
  </w:style>
  <w:style w:type="paragraph" w:styleId="Revisin">
    <w:name w:val="Revision"/>
    <w:hidden/>
    <w:uiPriority w:val="99"/>
    <w:semiHidden/>
    <w:rsid w:val="0054409D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table" w:styleId="Tablanormal3">
    <w:name w:val="Plain Table 3"/>
    <w:basedOn w:val="Tablanormal"/>
    <w:uiPriority w:val="43"/>
    <w:rsid w:val="00FD317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FD317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9B0FE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86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diagramLayout" Target="diagrams/layout2.xml"/><Relationship Id="rId26" Type="http://schemas.openxmlformats.org/officeDocument/2006/relationships/chart" Target="charts/chart4.xml"/><Relationship Id="rId39" Type="http://schemas.openxmlformats.org/officeDocument/2006/relationships/diagramLayout" Target="diagrams/layout4.xml"/><Relationship Id="rId21" Type="http://schemas.microsoft.com/office/2007/relationships/diagramDrawing" Target="diagrams/drawing2.xml"/><Relationship Id="rId34" Type="http://schemas.openxmlformats.org/officeDocument/2006/relationships/chart" Target="charts/chart7.xml"/><Relationship Id="rId42" Type="http://schemas.microsoft.com/office/2007/relationships/diagramDrawing" Target="diagrams/drawing4.xml"/><Relationship Id="rId47" Type="http://schemas.openxmlformats.org/officeDocument/2006/relationships/diagramQuickStyle" Target="diagrams/quickStyle5.xml"/><Relationship Id="rId50" Type="http://schemas.openxmlformats.org/officeDocument/2006/relationships/header" Target="header3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9" Type="http://schemas.openxmlformats.org/officeDocument/2006/relationships/diagramLayout" Target="diagrams/layout3.xml"/><Relationship Id="rId11" Type="http://schemas.openxmlformats.org/officeDocument/2006/relationships/diagramQuickStyle" Target="diagrams/quickStyle1.xml"/><Relationship Id="rId24" Type="http://schemas.openxmlformats.org/officeDocument/2006/relationships/header" Target="header2.xml"/><Relationship Id="rId32" Type="http://schemas.microsoft.com/office/2007/relationships/diagramDrawing" Target="diagrams/drawing3.xml"/><Relationship Id="rId37" Type="http://schemas.openxmlformats.org/officeDocument/2006/relationships/chart" Target="charts/chart10.xml"/><Relationship Id="rId40" Type="http://schemas.openxmlformats.org/officeDocument/2006/relationships/diagramQuickStyle" Target="diagrams/quickStyle4.xml"/><Relationship Id="rId45" Type="http://schemas.openxmlformats.org/officeDocument/2006/relationships/diagramData" Target="diagrams/data5.xml"/><Relationship Id="rId53" Type="http://schemas.openxmlformats.org/officeDocument/2006/relationships/footer" Target="footer4.xml"/><Relationship Id="rId5" Type="http://schemas.openxmlformats.org/officeDocument/2006/relationships/webSettings" Target="webSettings.xml"/><Relationship Id="rId10" Type="http://schemas.openxmlformats.org/officeDocument/2006/relationships/diagramLayout" Target="diagrams/layout1.xml"/><Relationship Id="rId19" Type="http://schemas.openxmlformats.org/officeDocument/2006/relationships/diagramQuickStyle" Target="diagrams/quickStyle2.xml"/><Relationship Id="rId31" Type="http://schemas.openxmlformats.org/officeDocument/2006/relationships/diagramColors" Target="diagrams/colors3.xml"/><Relationship Id="rId44" Type="http://schemas.openxmlformats.org/officeDocument/2006/relationships/chart" Target="charts/chart12.xml"/><Relationship Id="rId52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Relationship Id="rId22" Type="http://schemas.openxmlformats.org/officeDocument/2006/relationships/header" Target="header1.xml"/><Relationship Id="rId27" Type="http://schemas.openxmlformats.org/officeDocument/2006/relationships/chart" Target="charts/chart5.xml"/><Relationship Id="rId30" Type="http://schemas.openxmlformats.org/officeDocument/2006/relationships/diagramQuickStyle" Target="diagrams/quickStyle3.xml"/><Relationship Id="rId35" Type="http://schemas.openxmlformats.org/officeDocument/2006/relationships/chart" Target="charts/chart8.xml"/><Relationship Id="rId43" Type="http://schemas.openxmlformats.org/officeDocument/2006/relationships/chart" Target="charts/chart11.xml"/><Relationship Id="rId48" Type="http://schemas.openxmlformats.org/officeDocument/2006/relationships/diagramColors" Target="diagrams/colors5.xml"/><Relationship Id="rId8" Type="http://schemas.openxmlformats.org/officeDocument/2006/relationships/image" Target="media/image1.png"/><Relationship Id="rId51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Data" Target="diagrams/data2.xml"/><Relationship Id="rId25" Type="http://schemas.openxmlformats.org/officeDocument/2006/relationships/footer" Target="footer2.xml"/><Relationship Id="rId33" Type="http://schemas.openxmlformats.org/officeDocument/2006/relationships/chart" Target="charts/chart6.xml"/><Relationship Id="rId38" Type="http://schemas.openxmlformats.org/officeDocument/2006/relationships/diagramData" Target="diagrams/data4.xml"/><Relationship Id="rId46" Type="http://schemas.openxmlformats.org/officeDocument/2006/relationships/diagramLayout" Target="diagrams/layout5.xml"/><Relationship Id="rId20" Type="http://schemas.openxmlformats.org/officeDocument/2006/relationships/diagramColors" Target="diagrams/colors2.xml"/><Relationship Id="rId41" Type="http://schemas.openxmlformats.org/officeDocument/2006/relationships/diagramColors" Target="diagrams/colors4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footer" Target="footer1.xml"/><Relationship Id="rId28" Type="http://schemas.openxmlformats.org/officeDocument/2006/relationships/diagramData" Target="diagrams/data3.xml"/><Relationship Id="rId36" Type="http://schemas.openxmlformats.org/officeDocument/2006/relationships/chart" Target="charts/chart9.xml"/><Relationship Id="rId49" Type="http://schemas.microsoft.com/office/2007/relationships/diagramDrawing" Target="diagrams/drawing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1.xml"/><Relationship Id="rId1" Type="http://schemas.microsoft.com/office/2011/relationships/chartStyle" Target="style11.xml"/><Relationship Id="rId5" Type="http://schemas.openxmlformats.org/officeDocument/2006/relationships/chartUserShapes" Target="../drawings/drawing9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chartUserShapes" Target="../drawings/drawing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chartUserShapes" Target="../drawings/drawing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chartUserShapes" Target="../drawings/drawing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s-GT" sz="1200"/>
              <a:t>Ingresos</a:t>
            </a:r>
            <a:r>
              <a:rPr lang="es-GT" sz="1200" baseline="0"/>
              <a:t> Totales</a:t>
            </a:r>
          </a:p>
          <a:p>
            <a:pPr>
              <a:defRPr sz="900">
                <a:solidFill>
                  <a:sysClr val="windowText" lastClr="000000"/>
                </a:solidFill>
              </a:defRPr>
            </a:pPr>
            <a:r>
              <a:rPr lang="es-GT" sz="1100" baseline="0"/>
              <a:t>Variación interanual acumulada </a:t>
            </a:r>
          </a:p>
          <a:p>
            <a:pPr>
              <a:defRPr sz="900">
                <a:solidFill>
                  <a:sysClr val="windowText" lastClr="000000"/>
                </a:solidFill>
              </a:defRPr>
            </a:pPr>
            <a:r>
              <a:rPr lang="es-GT" sz="1100" baseline="0"/>
              <a:t>al 30 de septiembre de cada año</a:t>
            </a:r>
          </a:p>
          <a:p>
            <a:pPr>
              <a:defRPr sz="900">
                <a:solidFill>
                  <a:sysClr val="windowText" lastClr="000000"/>
                </a:solidFill>
              </a:defRPr>
            </a:pPr>
            <a:r>
              <a:rPr lang="es-GT" sz="1000" b="0" baseline="0"/>
              <a:t>En porcentajes</a:t>
            </a:r>
            <a:endParaRPr lang="es-GT" sz="1000" b="0"/>
          </a:p>
        </c:rich>
      </c:tx>
      <c:layout>
        <c:manualLayout>
          <c:xMode val="edge"/>
          <c:yMode val="edge"/>
          <c:x val="0.1183387937410987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none" spc="0" normalizeH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11098347707722211"/>
          <c:y val="0.29397768027088217"/>
          <c:w val="1"/>
          <c:h val="0.4037202219951514"/>
        </c:manualLayout>
      </c:layout>
      <c:barChart>
        <c:barDir val="col"/>
        <c:grouping val="clustered"/>
        <c:varyColors val="0"/>
        <c:ser>
          <c:idx val="0"/>
          <c:order val="1"/>
          <c:tx>
            <c:strRef>
              <c:f>Hoja1!$D$1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ysClr val="windowText" lastClr="000000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4.5024763619990991E-3"/>
                  <c:y val="-2.03562340966921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68E-4F11-B795-3C8DE4243CFB}"/>
                </c:ext>
              </c:extLst>
            </c:dLbl>
            <c:dLbl>
              <c:idx val="1"/>
              <c:layout>
                <c:manualLayout>
                  <c:x val="0"/>
                  <c:y val="-1.01781170483460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369-4070-A5FD-52761F3A437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B70952BE-0E47-4080-9730-962434246B8C}" type="VALUE">
                      <a:rPr lang="en-US">
                        <a:solidFill>
                          <a:schemeClr val="accent6"/>
                        </a:solidFill>
                      </a:rPr>
                      <a:pPr/>
                      <a:t>[VALOR]</a:t>
                    </a:fld>
                    <a:endParaRPr lang="es-GT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77DA-4CEC-AFDB-4DA9C5CBDAE3}"/>
                </c:ext>
              </c:extLst>
            </c:dLbl>
            <c:dLbl>
              <c:idx val="3"/>
              <c:layout>
                <c:manualLayout>
                  <c:x val="-4.5024763619991824E-3"/>
                  <c:y val="-9.329832848625337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7DA-4CEC-AFDB-4DA9C5CBDAE3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BE595BC7-DCA9-479A-871E-3B938E48F3A0}" type="VALUE">
                      <a:rPr lang="en-US">
                        <a:solidFill>
                          <a:schemeClr val="accent6"/>
                        </a:solidFill>
                      </a:rPr>
                      <a:pPr/>
                      <a:t>[VALOR]</a:t>
                    </a:fld>
                    <a:endParaRPr lang="es-GT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77DA-4CEC-AFDB-4DA9C5CBDAE3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9DDCDE80-5BE7-4E7D-88FF-C833BCB9D083}" type="VALUE">
                      <a:rPr lang="en-US">
                        <a:solidFill>
                          <a:schemeClr val="accent6"/>
                        </a:solidFill>
                      </a:rPr>
                      <a:pPr/>
                      <a:t>[VALOR]</a:t>
                    </a:fld>
                    <a:endParaRPr lang="es-GT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77DA-4CEC-AFDB-4DA9C5CBDAE3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2D891769-A5A5-4BD0-9B1C-58547D5E3D03}" type="VALUE">
                      <a:rPr lang="en-US">
                        <a:solidFill>
                          <a:schemeClr val="accent6"/>
                        </a:solidFill>
                      </a:rPr>
                      <a:pPr/>
                      <a:t>[VALOR]</a:t>
                    </a:fld>
                    <a:endParaRPr lang="es-GT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77DA-4CEC-AFDB-4DA9C5CBDAE3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D55D93F5-CB79-4C89-BF5E-9AF4FE653A6C}" type="VALUE">
                      <a:rPr lang="en-US">
                        <a:solidFill>
                          <a:schemeClr val="accent6"/>
                        </a:solidFill>
                      </a:rPr>
                      <a:pPr/>
                      <a:t>[VALOR]</a:t>
                    </a:fld>
                    <a:endParaRPr lang="es-GT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77DA-4CEC-AFDB-4DA9C5CBDAE3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A49661DA-D522-4D0D-AEC4-E447451C9457}" type="VALUE">
                      <a:rPr lang="en-US" sz="700">
                        <a:solidFill>
                          <a:schemeClr val="accent6"/>
                        </a:solidFill>
                      </a:rPr>
                      <a:pPr/>
                      <a:t>[VALOR]</a:t>
                    </a:fld>
                    <a:endParaRPr lang="es-GT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77DA-4CEC-AFDB-4DA9C5CBDA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accent6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Hoja1!$A$2:$A$10</c:f>
              <c:strCache>
                <c:ptCount val="9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</c:strCache>
            </c:strRef>
          </c:cat>
          <c:val>
            <c:numRef>
              <c:f>Hoja1!$D$2:$D$10</c:f>
              <c:numCache>
                <c:formatCode>#,##0.0_ ;[Red]\-#,##0.0\ </c:formatCode>
                <c:ptCount val="9"/>
                <c:pt idx="0">
                  <c:v>9.3979182442180953</c:v>
                </c:pt>
                <c:pt idx="1">
                  <c:v>8.9608554268839846</c:v>
                </c:pt>
                <c:pt idx="2">
                  <c:v>-3.027054181871891</c:v>
                </c:pt>
                <c:pt idx="3">
                  <c:v>0.90477629404430715</c:v>
                </c:pt>
                <c:pt idx="4">
                  <c:v>-3.4540328370828877</c:v>
                </c:pt>
                <c:pt idx="5">
                  <c:v>-5.1003803278290789</c:v>
                </c:pt>
                <c:pt idx="6">
                  <c:v>-6.3536071713508946</c:v>
                </c:pt>
                <c:pt idx="7">
                  <c:v>-7.0042301915600902</c:v>
                </c:pt>
                <c:pt idx="8">
                  <c:v>-6.423636281388811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D9-4984-901D-E1114F265272}"/>
            </c:ext>
          </c:extLst>
        </c:ser>
        <c:ser>
          <c:idx val="1"/>
          <c:order val="2"/>
          <c:tx>
            <c:strRef>
              <c:f>Hoja1!$C$1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/>
            </a:solidFill>
            <a:ln>
              <a:solidFill>
                <a:sysClr val="windowText" lastClr="000000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9.004952723998198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7DA-4CEC-AFDB-4DA9C5CBDAE3}"/>
                </c:ext>
              </c:extLst>
            </c:dLbl>
            <c:dLbl>
              <c:idx val="1"/>
              <c:layout>
                <c:manualLayout>
                  <c:x val="1.8009905447996397E-2"/>
                  <c:y val="5.08905852417302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68E-4F11-B795-3C8DE4243CFB}"/>
                </c:ext>
              </c:extLst>
            </c:dLbl>
            <c:dLbl>
              <c:idx val="2"/>
              <c:layout>
                <c:manualLayout>
                  <c:x val="0"/>
                  <c:y val="-1.01781170483460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7DA-4CEC-AFDB-4DA9C5CBDAE3}"/>
                </c:ext>
              </c:extLst>
            </c:dLbl>
            <c:dLbl>
              <c:idx val="3"/>
              <c:layout>
                <c:manualLayout>
                  <c:x val="0"/>
                  <c:y val="-4.58015267175572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68E-4F11-B795-3C8DE4243CF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1" i="0" u="none" strike="noStrike" kern="1200" baseline="0">
                    <a:solidFill>
                      <a:schemeClr val="accent5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Hoja1!$A$2:$A$10</c:f>
              <c:strCache>
                <c:ptCount val="9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</c:strCache>
            </c:strRef>
          </c:cat>
          <c:val>
            <c:numRef>
              <c:f>Hoja1!$C$2:$C$10</c:f>
              <c:numCache>
                <c:formatCode>#,##0.0_ ;[Red]\-#,##0.0\ </c:formatCode>
                <c:ptCount val="9"/>
                <c:pt idx="0">
                  <c:v>4.0556198030071489</c:v>
                </c:pt>
                <c:pt idx="1">
                  <c:v>6.0273892274479435</c:v>
                </c:pt>
                <c:pt idx="2">
                  <c:v>20.626364253850738</c:v>
                </c:pt>
                <c:pt idx="3">
                  <c:v>17.995321511269637</c:v>
                </c:pt>
                <c:pt idx="4">
                  <c:v>22.171079838813856</c:v>
                </c:pt>
                <c:pt idx="5">
                  <c:v>24.517077117569563</c:v>
                </c:pt>
                <c:pt idx="6">
                  <c:v>27.394199755310545</c:v>
                </c:pt>
                <c:pt idx="7">
                  <c:v>27.984423399515812</c:v>
                </c:pt>
                <c:pt idx="8">
                  <c:v>27.386036229909649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D9-4984-901D-E1114F2652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09281743"/>
        <c:axId val="344873055"/>
      </c:barChart>
      <c:lineChart>
        <c:grouping val="standard"/>
        <c:varyColors val="0"/>
        <c:ser>
          <c:idx val="2"/>
          <c:order val="0"/>
          <c:tx>
            <c:strRef>
              <c:f>Hoja1!$B$1</c:f>
              <c:strCache>
                <c:ptCount val="1"/>
                <c:pt idx="0">
                  <c:v>2022*</c:v>
                </c:pt>
              </c:strCache>
            </c:strRef>
          </c:tx>
          <c:spPr>
            <a:ln w="25400" cap="rnd">
              <a:solidFill>
                <a:schemeClr val="accent4"/>
              </a:solidFill>
              <a:round/>
              <a:tailEnd type="triangle"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marker>
            <c:symbol val="diamond"/>
            <c:size val="7"/>
            <c:spPr>
              <a:solidFill>
                <a:schemeClr val="lt1"/>
              </a:solidFill>
              <a:ln w="15875">
                <a:solidFill>
                  <a:schemeClr val="accent4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5.4774220309359148E-2"/>
                  <c:y val="-9.01853298871992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98F-4D19-9CDB-2A18BD344173}"/>
                </c:ext>
              </c:extLst>
            </c:dLbl>
            <c:dLbl>
              <c:idx val="1"/>
              <c:layout>
                <c:manualLayout>
                  <c:x val="-6.6492358198584026E-2"/>
                  <c:y val="-0.1085832782352587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98F-4D19-9CDB-2A18BD344173}"/>
                </c:ext>
              </c:extLst>
            </c:dLbl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Hoja1!$A$2:$A$10</c:f>
              <c:strCache>
                <c:ptCount val="9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</c:strCache>
            </c:strRef>
          </c:cat>
          <c:val>
            <c:numRef>
              <c:f>Hoja1!$B$2:$B$10</c:f>
              <c:numCache>
                <c:formatCode>#,##0.0_ ;[Red]\-#,##0.0\ </c:formatCode>
                <c:ptCount val="9"/>
                <c:pt idx="0">
                  <c:v>12.433459962353011</c:v>
                </c:pt>
                <c:pt idx="1">
                  <c:v>11.366931301609263</c:v>
                </c:pt>
                <c:pt idx="2">
                  <c:v>14.985753516594059</c:v>
                </c:pt>
                <c:pt idx="3">
                  <c:v>15.762995241423038</c:v>
                </c:pt>
                <c:pt idx="4">
                  <c:v>15.920251639932248</c:v>
                </c:pt>
                <c:pt idx="5">
                  <c:v>16.489544586370506</c:v>
                </c:pt>
                <c:pt idx="6">
                  <c:v>16.140785593367269</c:v>
                </c:pt>
                <c:pt idx="7">
                  <c:v>16.214047984751744</c:v>
                </c:pt>
                <c:pt idx="8">
                  <c:v>16.298061662286045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5-E2D9-4984-901D-E1114F2652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9281743"/>
        <c:axId val="344873055"/>
      </c:lineChart>
      <c:catAx>
        <c:axId val="150928174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344873055"/>
        <c:crosses val="autoZero"/>
        <c:auto val="1"/>
        <c:lblAlgn val="ctr"/>
        <c:lblOffset val="100"/>
        <c:noMultiLvlLbl val="0"/>
      </c:catAx>
      <c:valAx>
        <c:axId val="3448730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#,##0_ ;[Red]\-#,##0\ 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509281743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"/>
          <c:y val="0.89180260864338501"/>
          <c:w val="0.6715112918577486"/>
          <c:h val="9.30246516019270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4">
    <c:autoUpdate val="0"/>
  </c:externalData>
  <c:userShapes r:id="rId5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n-US" sz="900" b="1">
                <a:solidFill>
                  <a:schemeClr val="tx1"/>
                </a:solidFill>
              </a:rPr>
              <a:t>Por tipo de intrumento 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n-US" sz="900" b="1">
                <a:solidFill>
                  <a:schemeClr val="tx1"/>
                </a:solidFill>
              </a:rPr>
              <a:t>Cifra acumulada</a:t>
            </a:r>
          </a:p>
        </c:rich>
      </c:tx>
      <c:layout>
        <c:manualLayout>
          <c:xMode val="edge"/>
          <c:yMode val="edge"/>
          <c:x val="0.24247808794645748"/>
          <c:y val="4.453592907185814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cap="none" spc="0" normalizeH="0" baseline="0">
              <a:solidFill>
                <a:schemeClr val="tx1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43895438996051417"/>
          <c:y val="0.19398968496750502"/>
          <c:w val="0.28173969894888795"/>
          <c:h val="0.70011036022072048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Diciembre</c:v>
                </c:pt>
              </c:strCache>
            </c:strRef>
          </c:tx>
          <c:spPr>
            <a:solidFill>
              <a:srgbClr val="1F497D"/>
            </a:solidFill>
            <a:ln>
              <a:solidFill>
                <a:schemeClr val="tx1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1"/>
          <c:dPt>
            <c:idx val="0"/>
            <c:invertIfNegative val="1"/>
            <c:bubble3D val="0"/>
            <c:spPr>
              <a:solidFill>
                <a:srgbClr val="1F497D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F44-4C92-821A-7F028F1FD3E9}"/>
              </c:ext>
            </c:extLst>
          </c:dPt>
          <c:dPt>
            <c:idx val="1"/>
            <c:invertIfNegative val="1"/>
            <c:bubble3D val="0"/>
            <c:spPr>
              <a:solidFill>
                <a:srgbClr val="1F497D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F44-4C92-821A-7F028F1FD3E9}"/>
              </c:ext>
            </c:extLst>
          </c:dPt>
          <c:dPt>
            <c:idx val="2"/>
            <c:invertIfNegative val="1"/>
            <c:bubble3D val="0"/>
            <c:spPr>
              <a:solidFill>
                <a:srgbClr val="1F497D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29F-472F-91A8-BB37D81BC0C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2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F44-4C92-821A-7F028F1FD3E9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2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F44-4C92-821A-7F028F1FD3E9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2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F29F-472F-91A8-BB37D81BC0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Hoja1!$A$2:$A$4</c:f>
              <c:strCache>
                <c:ptCount val="3"/>
                <c:pt idx="0">
                  <c:v>Títulos de deuda</c:v>
                </c:pt>
                <c:pt idx="1">
                  <c:v>Préstamos</c:v>
                </c:pt>
                <c:pt idx="2">
                  <c:v>Otras cuentas por pagar</c:v>
                </c:pt>
              </c:strCache>
            </c:strRef>
          </c:cat>
          <c:val>
            <c:numRef>
              <c:f>Hoja1!$B$2:$B$4</c:f>
              <c:numCache>
                <c:formatCode>#,##0.0_ ;[Red]\-#,##0.0\ </c:formatCode>
                <c:ptCount val="3"/>
                <c:pt idx="0">
                  <c:v>6838.7011785200002</c:v>
                </c:pt>
                <c:pt idx="1">
                  <c:v>2295.9545379499996</c:v>
                </c:pt>
                <c:pt idx="2">
                  <c:v>46.550918520000025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C00000"/>
                  </a:solidFill>
                  <a:ln>
                    <a:solidFill>
                      <a:schemeClr val="tx1"/>
                    </a:solidFill>
                  </a:ln>
                  <a:effectLst>
                    <a:outerShdw blurRad="50800" dist="38100" dir="18900000" algn="bl" rotWithShape="0">
                      <a:prstClr val="black">
                        <a:alpha val="40000"/>
                      </a:prstClr>
                    </a:outerShdw>
                  </a:effectLst>
                </c14:spPr>
              </c14:invertSolidFillFmt>
            </c:ext>
            <c:ext xmlns:c16="http://schemas.microsoft.com/office/drawing/2014/chart" uri="{C3380CC4-5D6E-409C-BE32-E72D297353CC}">
              <c16:uniqueId val="{00000000-92B5-4ECC-B1F9-B9EE3AEC1E4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9"/>
        <c:overlap val="-48"/>
        <c:axId val="152972768"/>
        <c:axId val="152984368"/>
      </c:barChart>
      <c:catAx>
        <c:axId val="152972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0"/>
          <a:lstStyle/>
          <a:p>
            <a:pPr>
              <a:defRPr sz="8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52984368"/>
        <c:crosses val="autoZero"/>
        <c:auto val="1"/>
        <c:lblAlgn val="ctr"/>
        <c:lblOffset val="100"/>
        <c:noMultiLvlLbl val="0"/>
      </c:catAx>
      <c:valAx>
        <c:axId val="152984368"/>
        <c:scaling>
          <c:orientation val="minMax"/>
          <c:min val="-12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#,##0_ ;[Red]\-#,##0\ 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52972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s-GT" sz="1200" b="1" i="0" baseline="0">
                <a:effectLst/>
              </a:rPr>
              <a:t>Erogaciones por Función del Gobierno</a:t>
            </a:r>
            <a:endParaRPr lang="es-GT" sz="1200">
              <a:effectLst/>
            </a:endParaRPr>
          </a:p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es-GT" sz="1100" b="1" i="0" baseline="0">
                <a:effectLst/>
              </a:rPr>
              <a:t>Variaciones interanuales acumuladas a septiembre de cada año </a:t>
            </a:r>
            <a:endParaRPr lang="es-GT" sz="1100">
              <a:effectLst/>
            </a:endParaRPr>
          </a:p>
          <a:p>
            <a:pPr>
              <a:defRPr sz="1200">
                <a:solidFill>
                  <a:sysClr val="windowText" lastClr="000000"/>
                </a:solidFill>
              </a:defRPr>
            </a:pPr>
            <a:r>
              <a:rPr lang="es-GT" sz="1000" b="0" i="0" baseline="0">
                <a:effectLst/>
              </a:rPr>
              <a:t>En millones de quetzales</a:t>
            </a:r>
            <a:endParaRPr lang="es-GT" sz="1000">
              <a:effectLst/>
            </a:endParaRPr>
          </a:p>
        </c:rich>
      </c:tx>
      <c:layout>
        <c:manualLayout>
          <c:xMode val="edge"/>
          <c:yMode val="edge"/>
          <c:x val="0.1560094764529353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32780253795046432"/>
          <c:y val="0.14893514031153968"/>
          <c:w val="0.68935531496062996"/>
          <c:h val="0.7408721574942781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2022*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ysClr val="windowText" lastClr="000000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-3.56362600682854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E5E-4CD5-BF69-A6C38307C770}"/>
                </c:ext>
              </c:extLst>
            </c:dLbl>
            <c:dLbl>
              <c:idx val="2"/>
              <c:layout>
                <c:manualLayout>
                  <c:x val="0"/>
                  <c:y val="9.2421441774489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DC4-4009-8B33-22419C8D6A2C}"/>
                </c:ext>
              </c:extLst>
            </c:dLbl>
            <c:dLbl>
              <c:idx val="3"/>
              <c:layout>
                <c:manualLayout>
                  <c:x val="0"/>
                  <c:y val="-6.74093937715625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E5E-4CD5-BF69-A6C38307C770}"/>
                </c:ext>
              </c:extLst>
            </c:dLbl>
            <c:dLbl>
              <c:idx val="8"/>
              <c:layout>
                <c:manualLayout>
                  <c:x val="-7.846403401476049E-17"/>
                  <c:y val="9.59232613908872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DC4-4009-8B33-22419C8D6A2C}"/>
                </c:ext>
              </c:extLst>
            </c:dLbl>
            <c:dLbl>
              <c:idx val="9"/>
              <c:layout>
                <c:manualLayout>
                  <c:x val="-6.9443999791059712E-3"/>
                  <c:y val="9.59232613908872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E5E-4CD5-BF69-A6C38307C770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accen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Hoja1!$A$2:$A$11</c:f>
              <c:strCache>
                <c:ptCount val="10"/>
                <c:pt idx="0">
                  <c:v>Asuntos económicos </c:v>
                </c:pt>
                <c:pt idx="1">
                  <c:v>Educación </c:v>
                </c:pt>
                <c:pt idx="2">
                  <c:v>Servicios públicos generales </c:v>
                </c:pt>
                <c:pt idx="3">
                  <c:v>Orden público y seguridad </c:v>
                </c:pt>
                <c:pt idx="4">
                  <c:v>Vivienda y servicios comunitarios </c:v>
                </c:pt>
                <c:pt idx="5">
                  <c:v>Salud </c:v>
                </c:pt>
                <c:pt idx="6">
                  <c:v>Protección social </c:v>
                </c:pt>
                <c:pt idx="7">
                  <c:v>Defensa </c:v>
                </c:pt>
                <c:pt idx="8">
                  <c:v>Protección del medio ambiente </c:v>
                </c:pt>
                <c:pt idx="9">
                  <c:v>Actividades recreativas, cultura y religión </c:v>
                </c:pt>
              </c:strCache>
            </c:strRef>
          </c:cat>
          <c:val>
            <c:numRef>
              <c:f>Hoja1!$B$2:$B$11</c:f>
              <c:numCache>
                <c:formatCode>_(* #,##0.00_);_(* \(#,##0.00\);_(* "-"??_);_(@_)</c:formatCode>
                <c:ptCount val="10"/>
                <c:pt idx="0">
                  <c:v>2718.4215936600021</c:v>
                </c:pt>
                <c:pt idx="1">
                  <c:v>2254.2270253200022</c:v>
                </c:pt>
                <c:pt idx="2">
                  <c:v>1498.4053559999975</c:v>
                </c:pt>
                <c:pt idx="3">
                  <c:v>1133.6656473800003</c:v>
                </c:pt>
                <c:pt idx="4">
                  <c:v>1043.3247992900006</c:v>
                </c:pt>
                <c:pt idx="5">
                  <c:v>833.50843054999859</c:v>
                </c:pt>
                <c:pt idx="6">
                  <c:v>503.45756813999924</c:v>
                </c:pt>
                <c:pt idx="7">
                  <c:v>436.73318249999966</c:v>
                </c:pt>
                <c:pt idx="8">
                  <c:v>133.89821829000005</c:v>
                </c:pt>
                <c:pt idx="9">
                  <c:v>83.395170190000044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E5E-4CD5-BF69-A6C38307C770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ysClr val="windowText" lastClr="000000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1"/>
              <c:layout>
                <c:manualLayout>
                  <c:x val="0"/>
                  <c:y val="-4.41111601235128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E5E-4CD5-BF69-A6C38307C770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accent2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Hoja1!$A$2:$A$11</c:f>
              <c:strCache>
                <c:ptCount val="10"/>
                <c:pt idx="0">
                  <c:v>Asuntos económicos </c:v>
                </c:pt>
                <c:pt idx="1">
                  <c:v>Educación </c:v>
                </c:pt>
                <c:pt idx="2">
                  <c:v>Servicios públicos generales </c:v>
                </c:pt>
                <c:pt idx="3">
                  <c:v>Orden público y seguridad </c:v>
                </c:pt>
                <c:pt idx="4">
                  <c:v>Vivienda y servicios comunitarios </c:v>
                </c:pt>
                <c:pt idx="5">
                  <c:v>Salud </c:v>
                </c:pt>
                <c:pt idx="6">
                  <c:v>Protección social </c:v>
                </c:pt>
                <c:pt idx="7">
                  <c:v>Defensa </c:v>
                </c:pt>
                <c:pt idx="8">
                  <c:v>Protección del medio ambiente </c:v>
                </c:pt>
                <c:pt idx="9">
                  <c:v>Actividades recreativas, cultura y religión </c:v>
                </c:pt>
              </c:strCache>
            </c:strRef>
          </c:cat>
          <c:val>
            <c:numRef>
              <c:f>Hoja1!$C$2:$C$11</c:f>
              <c:numCache>
                <c:formatCode>_(* #,##0.00_);_(* \(#,##0.00\);_(* "-"??_);_(@_)</c:formatCode>
                <c:ptCount val="10"/>
                <c:pt idx="0">
                  <c:v>1265.5649096999996</c:v>
                </c:pt>
                <c:pt idx="1">
                  <c:v>428.96076555999934</c:v>
                </c:pt>
                <c:pt idx="2">
                  <c:v>1433.6766898000005</c:v>
                </c:pt>
                <c:pt idx="3">
                  <c:v>543.51332649999858</c:v>
                </c:pt>
                <c:pt idx="4">
                  <c:v>265.44168282999999</c:v>
                </c:pt>
                <c:pt idx="5">
                  <c:v>1556.6074208999999</c:v>
                </c:pt>
                <c:pt idx="6">
                  <c:v>-6400.5898552399985</c:v>
                </c:pt>
                <c:pt idx="7">
                  <c:v>66.79150060000029</c:v>
                </c:pt>
                <c:pt idx="8">
                  <c:v>76.666482649999921</c:v>
                </c:pt>
                <c:pt idx="9">
                  <c:v>104.18233009000005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E5E-4CD5-BF69-A6C38307C7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7"/>
        <c:axId val="1170388288"/>
        <c:axId val="1181658512"/>
      </c:barChart>
      <c:catAx>
        <c:axId val="1170388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181658512"/>
        <c:crosses val="autoZero"/>
        <c:auto val="1"/>
        <c:lblAlgn val="ctr"/>
        <c:lblOffset val="100"/>
        <c:noMultiLvlLbl val="0"/>
      </c:catAx>
      <c:valAx>
        <c:axId val="1181658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_ ;[Red]\-#,##0\ 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170388288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7127627129211027"/>
          <c:y val="0.19446599327579431"/>
          <c:w val="9.2958543888412404E-2"/>
          <c:h val="8.217721629528286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4">
    <c:autoUpdate val="0"/>
  </c:externalData>
  <c:userShapes r:id="rId5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s-MX" sz="1100" b="1" i="0">
                <a:effectLst/>
              </a:rPr>
              <a:t>𝐆𝐫𝐚𝐝𝐨 𝐝𝐞 𝐄𝐣𝐞𝐜𝐮𝐜𝐢ó𝐧 𝐩𝐨𝐫 𝐄𝐧𝐭𝐢𝐝𝐚𝐝 </a:t>
            </a:r>
            <a:r>
              <a:rPr lang="es-MX" sz="1100" b="1" i="0" baseline="30000">
                <a:effectLst/>
              </a:rPr>
              <a:t>𝟏/</a:t>
            </a:r>
            <a:endParaRPr lang="es-GT" sz="1100" baseline="30000">
              <a:effectLst/>
            </a:endParaRPr>
          </a:p>
          <a:p>
            <a:pPr>
              <a:defRPr/>
            </a:pPr>
            <a:r>
              <a:rPr lang="es-MX" sz="1050" b="1">
                <a:effectLst/>
              </a:rPr>
              <a:t>Cifras a septiembre de 2022*</a:t>
            </a:r>
            <a:endParaRPr lang="es-GT" sz="1050">
              <a:effectLst/>
            </a:endParaRPr>
          </a:p>
          <a:p>
            <a:pPr>
              <a:defRPr/>
            </a:pPr>
            <a:r>
              <a:rPr lang="es-MX" sz="1000">
                <a:effectLst/>
              </a:rPr>
              <a:t>En porcentajes</a:t>
            </a:r>
            <a:endParaRPr lang="es-GT" sz="1000">
              <a:effectLst/>
            </a:endParaRPr>
          </a:p>
        </c:rich>
      </c:tx>
      <c:layout>
        <c:manualLayout>
          <c:xMode val="edge"/>
          <c:yMode val="edge"/>
          <c:x val="0.1822329508578146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22102137716916642"/>
          <c:y val="0.10896874097836283"/>
          <c:w val="0.96086113161048337"/>
          <c:h val="0.75437147608510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/>
          </c:spPr>
          <c:invertIfNegative val="0"/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1555-488B-8CF5-F45EFE7794A5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1555-488B-8CF5-F45EFE7794A5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1555-488B-8CF5-F45EFE7794A5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1555-488B-8CF5-F45EFE7794A5}"/>
              </c:ext>
            </c:extLst>
          </c:dPt>
          <c:dPt>
            <c:idx val="1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1555-488B-8CF5-F45EFE7794A5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>
              <c:ext xmlns:c16="http://schemas.microsoft.com/office/drawing/2014/chart" uri="{C3380CC4-5D6E-409C-BE32-E72D297353CC}">
                <c16:uniqueId val="{00000006-1555-488B-8CF5-F45EFE7794A5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1555-488B-8CF5-F45EFE7794A5}"/>
              </c:ext>
            </c:extLst>
          </c:dPt>
          <c:dLbls>
            <c:dLbl>
              <c:idx val="1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1555-488B-8CF5-F45EFE7794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Sheet1!$A$2:$A$21</c:f>
              <c:strCache>
                <c:ptCount val="20"/>
                <c:pt idx="0">
                  <c:v>Comunicaciones</c:v>
                </c:pt>
                <c:pt idx="1">
                  <c:v>Cultura</c:v>
                </c:pt>
                <c:pt idx="2">
                  <c:v>Agricultura</c:v>
                </c:pt>
                <c:pt idx="3">
                  <c:v>Economía</c:v>
                </c:pt>
                <c:pt idx="4">
                  <c:v>Secretarías</c:v>
                </c:pt>
                <c:pt idx="5">
                  <c:v>Finanzas</c:v>
                </c:pt>
                <c:pt idx="6">
                  <c:v>Salud Pública </c:v>
                </c:pt>
                <c:pt idx="7">
                  <c:v>Gobernación</c:v>
                </c:pt>
                <c:pt idx="8">
                  <c:v>Desarrollo</c:v>
                </c:pt>
                <c:pt idx="9">
                  <c:v>Ambiente </c:v>
                </c:pt>
                <c:pt idx="10">
                  <c:v>MINREX</c:v>
                </c:pt>
                <c:pt idx="11">
                  <c:v>Total</c:v>
                </c:pt>
                <c:pt idx="12">
                  <c:v>Obligaciones </c:v>
                </c:pt>
                <c:pt idx="13">
                  <c:v>Deuda Pública</c:v>
                </c:pt>
                <c:pt idx="14">
                  <c:v>Defensa </c:v>
                </c:pt>
                <c:pt idx="15">
                  <c:v>Trabajo </c:v>
                </c:pt>
                <c:pt idx="16">
                  <c:v>PGN</c:v>
                </c:pt>
                <c:pt idx="17">
                  <c:v>Presidencia</c:v>
                </c:pt>
                <c:pt idx="18">
                  <c:v>Educación </c:v>
                </c:pt>
                <c:pt idx="19">
                  <c:v>Energía</c:v>
                </c:pt>
              </c:strCache>
            </c:strRef>
          </c:cat>
          <c:val>
            <c:numRef>
              <c:f>Sheet1!$B$2:$B$21</c:f>
              <c:numCache>
                <c:formatCode>0.0</c:formatCode>
                <c:ptCount val="20"/>
                <c:pt idx="0">
                  <c:v>48.032387182218649</c:v>
                </c:pt>
                <c:pt idx="1">
                  <c:v>53.544846041853646</c:v>
                </c:pt>
                <c:pt idx="2">
                  <c:v>56.701598670472521</c:v>
                </c:pt>
                <c:pt idx="3">
                  <c:v>57.80218246597407</c:v>
                </c:pt>
                <c:pt idx="4">
                  <c:v>59.351214870104798</c:v>
                </c:pt>
                <c:pt idx="5">
                  <c:v>60.564528567341988</c:v>
                </c:pt>
                <c:pt idx="6">
                  <c:v>62.081853868390944</c:v>
                </c:pt>
                <c:pt idx="7">
                  <c:v>63.142067855264415</c:v>
                </c:pt>
                <c:pt idx="8">
                  <c:v>63.564127633426772</c:v>
                </c:pt>
                <c:pt idx="9">
                  <c:v>64.208954458359528</c:v>
                </c:pt>
                <c:pt idx="10">
                  <c:v>65.95810471666266</c:v>
                </c:pt>
                <c:pt idx="11">
                  <c:v>66.739885645560292</c:v>
                </c:pt>
                <c:pt idx="12">
                  <c:v>67.666435571365156</c:v>
                </c:pt>
                <c:pt idx="13">
                  <c:v>70.182316539642116</c:v>
                </c:pt>
                <c:pt idx="14">
                  <c:v>70.337995268760849</c:v>
                </c:pt>
                <c:pt idx="15">
                  <c:v>70.63246611127984</c:v>
                </c:pt>
                <c:pt idx="16">
                  <c:v>71.808650829493075</c:v>
                </c:pt>
                <c:pt idx="17">
                  <c:v>72.065408375609763</c:v>
                </c:pt>
                <c:pt idx="18">
                  <c:v>72.228653587342762</c:v>
                </c:pt>
                <c:pt idx="19">
                  <c:v>96.101905607713192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555-488B-8CF5-F45EFE7794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axId val="584502968"/>
        <c:axId val="584496080"/>
      </c:barChart>
      <c:catAx>
        <c:axId val="5845029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584496080"/>
        <c:crosses val="autoZero"/>
        <c:auto val="1"/>
        <c:lblAlgn val="ctr"/>
        <c:lblOffset val="100"/>
        <c:noMultiLvlLbl val="0"/>
      </c:catAx>
      <c:valAx>
        <c:axId val="584496080"/>
        <c:scaling>
          <c:orientation val="minMax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584502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Ingresos Totales por clasificación MEFP</a:t>
            </a:r>
          </a:p>
          <a:p>
            <a:pPr>
              <a:defRPr/>
            </a:pPr>
            <a:r>
              <a:rPr lang="en-US" sz="1100" b="1">
                <a:solidFill>
                  <a:sysClr val="windowText" lastClr="000000"/>
                </a:solidFill>
              </a:rPr>
              <a:t>Variación interanual acumulada a septiembre</a:t>
            </a:r>
            <a:r>
              <a:rPr lang="en-US" sz="1100" b="1" baseline="0">
                <a:solidFill>
                  <a:sysClr val="windowText" lastClr="000000"/>
                </a:solidFill>
              </a:rPr>
              <a:t> </a:t>
            </a:r>
            <a:r>
              <a:rPr lang="en-US" sz="1100" b="1">
                <a:solidFill>
                  <a:sysClr val="windowText" lastClr="000000"/>
                </a:solidFill>
              </a:rPr>
              <a:t>2022*</a:t>
            </a:r>
          </a:p>
          <a:p>
            <a:pPr>
              <a:defRPr/>
            </a:pPr>
            <a:r>
              <a:rPr lang="en-US" sz="1000" b="0">
                <a:solidFill>
                  <a:sysClr val="windowText" lastClr="000000"/>
                </a:solidFill>
              </a:rPr>
              <a:t>En millones de Quetzales</a:t>
            </a:r>
          </a:p>
        </c:rich>
      </c:tx>
      <c:layout>
        <c:manualLayout>
          <c:xMode val="edge"/>
          <c:yMode val="edge"/>
          <c:x val="0.26254132099927324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4.0408336877924285E-2"/>
          <c:y val="0.29378602427171852"/>
          <c:w val="0.94778901254952663"/>
          <c:h val="0.577969907226943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Diferencia acumulada en Q</c:v>
                </c:pt>
              </c:strCache>
            </c:strRef>
          </c:tx>
          <c:spPr>
            <a:solidFill>
              <a:srgbClr val="1F497D"/>
            </a:solidFill>
            <a:ln>
              <a:solidFill>
                <a:schemeClr val="tx1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1"/>
          <c:dPt>
            <c:idx val="0"/>
            <c:invertIfNegative val="1"/>
            <c:bubble3D val="0"/>
            <c:spPr>
              <a:solidFill>
                <a:schemeClr val="tx2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7A6-4C68-88CD-2C6CC3BED143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7A6-4C68-88CD-2C6CC3BED143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3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7A6-4C68-88CD-2C6CC3BED143}"/>
              </c:ext>
            </c:extLst>
          </c:dPt>
          <c:dLbls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accent3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87A6-4C68-88CD-2C6CC3BED1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accent5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Hoja1!$A$2:$A$6</c:f>
              <c:strCache>
                <c:ptCount val="5"/>
                <c:pt idx="0">
                  <c:v>Impuestos </c:v>
                </c:pt>
                <c:pt idx="1">
                  <c:v>Otros ingresos </c:v>
                </c:pt>
                <c:pt idx="2">
                  <c:v>Contribuciones sociales </c:v>
                </c:pt>
                <c:pt idx="3">
                  <c:v>Donaciones </c:v>
                </c:pt>
                <c:pt idx="4">
                  <c:v>Ingresos Totales</c:v>
                </c:pt>
              </c:strCache>
            </c:strRef>
          </c:cat>
          <c:val>
            <c:numRef>
              <c:f>Hoja1!$B$2:$B$6</c:f>
              <c:numCache>
                <c:formatCode>#,##0.0_ ;[Red]\-#,##0.0\ </c:formatCode>
                <c:ptCount val="5"/>
                <c:pt idx="0">
                  <c:v>9468.8066627499866</c:v>
                </c:pt>
                <c:pt idx="1">
                  <c:v>324.21823781000012</c:v>
                </c:pt>
                <c:pt idx="2">
                  <c:v>45.94885351999983</c:v>
                </c:pt>
                <c:pt idx="3">
                  <c:v>-18.06996866999998</c:v>
                </c:pt>
                <c:pt idx="4">
                  <c:v>9820.9037854099879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C0504D"/>
                  </a:solidFill>
                  <a:ln>
                    <a:solidFill>
                      <a:schemeClr val="tx1"/>
                    </a:solidFill>
                  </a:ln>
                  <a:effectLst>
                    <a:outerShdw blurRad="50800" dist="38100" dir="18900000" algn="bl" rotWithShape="0">
                      <a:prstClr val="black">
                        <a:alpha val="40000"/>
                      </a:prstClr>
                    </a:outerShdw>
                  </a:effectLst>
                </c14:spPr>
              </c14:invertSolidFillFmt>
            </c:ext>
            <c:ext xmlns:c16="http://schemas.microsoft.com/office/drawing/2014/chart" uri="{C3380CC4-5D6E-409C-BE32-E72D297353CC}">
              <c16:uniqueId val="{00000006-87A6-4C68-88CD-2C6CC3BED1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axId val="415018800"/>
        <c:axId val="408568416"/>
      </c:barChart>
      <c:catAx>
        <c:axId val="415018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408568416"/>
        <c:crosses val="autoZero"/>
        <c:auto val="1"/>
        <c:lblAlgn val="ctr"/>
        <c:lblOffset val="100"/>
        <c:noMultiLvlLbl val="0"/>
      </c:catAx>
      <c:valAx>
        <c:axId val="408568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_ ;[Red]\-#,##0\ 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415018800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s-GT" sz="1100" b="1" i="0" baseline="0">
                <a:effectLst/>
              </a:rPr>
              <a:t>Impuestos por clasificación MEFP</a:t>
            </a:r>
            <a:endParaRPr lang="es-GT" sz="1100">
              <a:effectLst/>
            </a:endParaRPr>
          </a:p>
          <a:p>
            <a:pPr>
              <a:defRPr b="0">
                <a:solidFill>
                  <a:sysClr val="windowText" lastClr="000000"/>
                </a:solidFill>
              </a:defRPr>
            </a:pPr>
            <a:r>
              <a:rPr lang="es-GT" sz="900" b="1" i="0" baseline="0">
                <a:effectLst/>
              </a:rPr>
              <a:t>Variación interanual acumulada a septiembre* </a:t>
            </a:r>
            <a:endParaRPr lang="es-GT" sz="900">
              <a:effectLst/>
            </a:endParaRPr>
          </a:p>
          <a:p>
            <a:pPr>
              <a:defRPr b="0">
                <a:solidFill>
                  <a:sysClr val="windowText" lastClr="000000"/>
                </a:solidFill>
              </a:defRPr>
            </a:pPr>
            <a:r>
              <a:rPr lang="es-GT" sz="1000" b="0" i="0" baseline="0">
                <a:effectLst/>
              </a:rPr>
              <a:t>En millones de quetzales</a:t>
            </a:r>
            <a:endParaRPr lang="es-GT" sz="1000">
              <a:effectLst/>
            </a:endParaRPr>
          </a:p>
        </c:rich>
      </c:tx>
      <c:layout>
        <c:manualLayout>
          <c:xMode val="edge"/>
          <c:yMode val="edge"/>
          <c:x val="0.11980660657118233"/>
          <c:y val="1.507744224279657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0" normalizeH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.51727859860214098"/>
          <c:y val="0.16211363002701584"/>
          <c:w val="0.42675232075391323"/>
          <c:h val="0.759909338255794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2022*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ysClr val="windowText" lastClr="000000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00B0F0"/>
              </a:solidFill>
              <a:ln>
                <a:solidFill>
                  <a:sysClr val="windowText" lastClr="000000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035-4FD0-8846-C058D9E2CEE6}"/>
              </c:ext>
            </c:extLst>
          </c:dPt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Hoja1!$A$2:$A$7</c:f>
              <c:strCache>
                <c:ptCount val="6"/>
                <c:pt idx="0">
                  <c:v>Impuestos Totales</c:v>
                </c:pt>
                <c:pt idx="1">
                  <c:v>Impuestos sobre los bienes y servicios </c:v>
                </c:pt>
                <c:pt idx="2">
                  <c:v>Impuestos sobre el ingreso, las utilidades y las ganancias de capital </c:v>
                </c:pt>
                <c:pt idx="3">
                  <c:v>Impuestos sobre el comercio y las transacciones internacionales </c:v>
                </c:pt>
                <c:pt idx="4">
                  <c:v>Otros impuestos </c:v>
                </c:pt>
                <c:pt idx="5">
                  <c:v>Impuestos sobre la propiedad </c:v>
                </c:pt>
              </c:strCache>
            </c:strRef>
          </c:cat>
          <c:val>
            <c:numRef>
              <c:f>Hoja1!$B$2:$B$7</c:f>
              <c:numCache>
                <c:formatCode>#,##0.0_ ;[Red]\-#,##0.0\ </c:formatCode>
                <c:ptCount val="6"/>
                <c:pt idx="0" formatCode="_(* #,##0.00_);_(* \(#,##0.00\);_(* &quot;-&quot;??_);_(@_)">
                  <c:v>9468.8066627500084</c:v>
                </c:pt>
                <c:pt idx="1">
                  <c:v>5330.4788411900081</c:v>
                </c:pt>
                <c:pt idx="2">
                  <c:v>3663.15267675</c:v>
                </c:pt>
                <c:pt idx="3">
                  <c:v>401.95380019000004</c:v>
                </c:pt>
                <c:pt idx="4">
                  <c:v>61.262056060000077</c:v>
                </c:pt>
                <c:pt idx="5">
                  <c:v>11.959288560000001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035-4FD0-8846-C058D9E2CEE6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9BBB59"/>
            </a:solidFill>
            <a:ln>
              <a:solidFill>
                <a:sysClr val="windowText" lastClr="000000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ln>
                <a:solidFill>
                  <a:sysClr val="windowText" lastClr="000000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6035-4FD0-8846-C058D9E2CEE6}"/>
              </c:ext>
            </c:extLst>
          </c:dPt>
          <c:dLbls>
            <c:dLbl>
              <c:idx val="0"/>
              <c:layout>
                <c:manualLayout>
                  <c:x val="0"/>
                  <c:y val="3.052503052503164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035-4FD0-8846-C058D9E2CEE6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accent3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G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Hoja1!$A$2:$A$7</c:f>
              <c:strCache>
                <c:ptCount val="6"/>
                <c:pt idx="0">
                  <c:v>Impuestos Totales</c:v>
                </c:pt>
                <c:pt idx="1">
                  <c:v>Impuestos sobre los bienes y servicios </c:v>
                </c:pt>
                <c:pt idx="2">
                  <c:v>Impuestos sobre el ingreso, las utilidades y las ganancias de capital </c:v>
                </c:pt>
                <c:pt idx="3">
                  <c:v>Impuestos sobre el comercio y las transacciones internacionales </c:v>
                </c:pt>
                <c:pt idx="4">
                  <c:v>Otros impuestos </c:v>
                </c:pt>
                <c:pt idx="5">
                  <c:v>Impuestos sobre la propiedad </c:v>
                </c:pt>
              </c:strCache>
            </c:strRef>
          </c:cat>
          <c:val>
            <c:numRef>
              <c:f>Hoja1!$C$2:$C$7</c:f>
              <c:numCache>
                <c:formatCode>_(* #,##0.00_);_(* \(#,##0.00\);_(* "-"??_);_(@_)</c:formatCode>
                <c:ptCount val="6"/>
                <c:pt idx="0">
                  <c:v>12462.972384180002</c:v>
                </c:pt>
                <c:pt idx="1">
                  <c:v>7702.5839906500041</c:v>
                </c:pt>
                <c:pt idx="2">
                  <c:v>3778.78630428</c:v>
                </c:pt>
                <c:pt idx="3">
                  <c:v>855.00454265999974</c:v>
                </c:pt>
                <c:pt idx="4">
                  <c:v>116.57566509999998</c:v>
                </c:pt>
                <c:pt idx="5">
                  <c:v>10.021881490000002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035-4FD0-8846-C058D9E2CE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7"/>
        <c:axId val="1916956256"/>
        <c:axId val="1924152624"/>
      </c:barChart>
      <c:catAx>
        <c:axId val="1916956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@" sourceLinked="0"/>
        <c:majorTickMark val="out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0"/>
          <a:lstStyle/>
          <a:p>
            <a:pPr>
              <a:defRPr sz="800" b="1" i="0" u="none" strike="noStrike" kern="1200" cap="none" spc="0" normalizeH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924152624"/>
        <c:crosses val="autoZero"/>
        <c:auto val="1"/>
        <c:lblAlgn val="ctr"/>
        <c:lblOffset val="100"/>
        <c:noMultiLvlLbl val="0"/>
      </c:catAx>
      <c:valAx>
        <c:axId val="1924152624"/>
        <c:scaling>
          <c:orientation val="minMax"/>
        </c:scaling>
        <c:delete val="1"/>
        <c:axPos val="b"/>
        <c:numFmt formatCode="_(* #,##0.00_);_(* \(#,##0.00\);_(* &quot;-&quot;??_);_(@_)" sourceLinked="1"/>
        <c:majorTickMark val="none"/>
        <c:minorTickMark val="none"/>
        <c:tickLblPos val="nextTo"/>
        <c:crossAx val="1916956256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072774994034832"/>
          <c:y val="0.16204224471941006"/>
          <c:w val="0.16702252106127183"/>
          <c:h val="8.56675959763402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ln>
                  <a:noFill/>
                </a:ln>
                <a:solidFill>
                  <a:schemeClr val="dk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Gasto Total</a:t>
            </a:r>
            <a:endParaRPr lang="es-GT" sz="1100" b="1">
              <a:solidFill>
                <a:sysClr val="windowText" lastClr="000000"/>
              </a:solidFill>
              <a:effectLst/>
            </a:endParaRPr>
          </a:p>
          <a:p>
            <a:pPr>
              <a:defRPr>
                <a:ln>
                  <a:noFill/>
                </a:ln>
              </a:defRPr>
            </a:pPr>
            <a:r>
              <a:rPr lang="en-US" sz="1050" b="1" i="0" baseline="0">
                <a:solidFill>
                  <a:sysClr val="windowText" lastClr="000000"/>
                </a:solidFill>
                <a:effectLst/>
              </a:rPr>
              <a:t>Variación internanual acumulada </a:t>
            </a:r>
          </a:p>
          <a:p>
            <a:pPr>
              <a:defRPr>
                <a:ln>
                  <a:noFill/>
                </a:ln>
              </a:defRPr>
            </a:pPr>
            <a:r>
              <a:rPr lang="en-US" sz="1050" b="1" i="0" baseline="0">
                <a:solidFill>
                  <a:sysClr val="windowText" lastClr="000000"/>
                </a:solidFill>
                <a:effectLst/>
              </a:rPr>
              <a:t>al 31 de septiembre de cada año</a:t>
            </a:r>
            <a:endParaRPr lang="es-GT" sz="1050" b="1">
              <a:solidFill>
                <a:sysClr val="windowText" lastClr="000000"/>
              </a:solidFill>
              <a:effectLst/>
            </a:endParaRPr>
          </a:p>
          <a:p>
            <a:pPr>
              <a:defRPr>
                <a:ln>
                  <a:noFill/>
                </a:ln>
              </a:defRPr>
            </a:pPr>
            <a:r>
              <a:rPr lang="en-US" sz="1000" b="0" i="0" baseline="0">
                <a:solidFill>
                  <a:sysClr val="windowText" lastClr="000000"/>
                </a:solidFill>
                <a:effectLst/>
              </a:rPr>
              <a:t>En porcentaje</a:t>
            </a:r>
            <a:endParaRPr lang="es-GT" sz="1000" b="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633665559246954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ln>
                <a:noFill/>
              </a:ln>
              <a:solidFill>
                <a:schemeClr val="dk1">
                  <a:lumMod val="50000"/>
                  <a:lumOff val="50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9.3071389332147439E-2"/>
          <c:y val="0.22086821166281659"/>
          <c:w val="0.90692861066785257"/>
          <c:h val="0.51789275551912473"/>
        </c:manualLayout>
      </c:layout>
      <c:barChart>
        <c:barDir val="col"/>
        <c:grouping val="clustered"/>
        <c:varyColors val="0"/>
        <c:ser>
          <c:idx val="0"/>
          <c:order val="1"/>
          <c:tx>
            <c:strRef>
              <c:f>Hoja1!$C$1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C0504D"/>
            </a:solidFill>
            <a:ln w="9525" cap="flat" cmpd="sng" algn="ctr">
              <a:solidFill>
                <a:sysClr val="windowText" lastClr="000000"/>
              </a:solidFill>
              <a:round/>
              <a:tailEnd type="triangle"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4.5745328345584708E-2"/>
                  <c:y val="-1.05795949818199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315-4F67-9B08-ABE587640D67}"/>
                </c:ext>
              </c:extLst>
            </c:dLbl>
            <c:dLbl>
              <c:idx val="1"/>
              <c:layout>
                <c:manualLayout>
                  <c:x val="-2.3723302229667711E-3"/>
                  <c:y val="-2.054679230669936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15-4F67-9B08-ABE587640D67}"/>
                </c:ext>
              </c:extLst>
            </c:dLbl>
            <c:dLbl>
              <c:idx val="3"/>
              <c:layout>
                <c:manualLayout>
                  <c:x val="-4.4296788482834993E-3"/>
                  <c:y val="-3.462204270051938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315-4F67-9B08-ABE587640D67}"/>
                </c:ext>
              </c:extLst>
            </c:dLbl>
            <c:dLbl>
              <c:idx val="4"/>
              <c:layout>
                <c:manualLayout>
                  <c:x val="-8.120984074218733E-17"/>
                  <c:y val="-1.73110213502596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315-4F67-9B08-ABE587640D67}"/>
                </c:ext>
              </c:extLst>
            </c:dLbl>
            <c:dLbl>
              <c:idx val="5"/>
              <c:layout>
                <c:manualLayout>
                  <c:x val="-4.4296788482836615E-3"/>
                  <c:y val="5.287358410839153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315-4F67-9B08-ABE587640D67}"/>
                </c:ext>
              </c:extLst>
            </c:dLbl>
            <c:dLbl>
              <c:idx val="7"/>
              <c:layout>
                <c:manualLayout>
                  <c:x val="2.1266839815435269E-3"/>
                  <c:y val="-7.95869368787917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315-4F67-9B08-ABE587640D67}"/>
                </c:ext>
              </c:extLst>
            </c:dLbl>
            <c:dLbl>
              <c:idx val="8"/>
              <c:layout>
                <c:manualLayout>
                  <c:x val="-2.1983033615832E-3"/>
                  <c:y val="-2.802289058130068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315-4F67-9B08-ABE587640D67}"/>
                </c:ext>
              </c:extLst>
            </c:dLbl>
            <c:dLbl>
              <c:idx val="9"/>
              <c:layout>
                <c:manualLayout>
                  <c:x val="0"/>
                  <c:y val="-1.061124736457123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315-4F67-9B08-ABE587640D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rgbClr val="C0504D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Hoja1!$A$2:$A$10</c:f>
              <c:strCache>
                <c:ptCount val="9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</c:strCache>
            </c:strRef>
          </c:cat>
          <c:val>
            <c:numRef>
              <c:f>Hoja1!$C$2:$C$10</c:f>
              <c:numCache>
                <c:formatCode>_-* #,##0.0_-;\-* #,##0.0_-;_-* "-"??_-;_-@_-</c:formatCode>
                <c:ptCount val="9"/>
                <c:pt idx="0">
                  <c:v>3.4909704848578249</c:v>
                </c:pt>
                <c:pt idx="1">
                  <c:v>4.8023061086179375</c:v>
                </c:pt>
                <c:pt idx="2">
                  <c:v>-0.1099249986598938</c:v>
                </c:pt>
                <c:pt idx="3">
                  <c:v>9.8657956894710139</c:v>
                </c:pt>
                <c:pt idx="4">
                  <c:v>12.166836122492587</c:v>
                </c:pt>
                <c:pt idx="5">
                  <c:v>4.0088673450811019</c:v>
                </c:pt>
                <c:pt idx="6">
                  <c:v>4.1143041660915758</c:v>
                </c:pt>
                <c:pt idx="7">
                  <c:v>0.7018520727777755</c:v>
                </c:pt>
                <c:pt idx="8">
                  <c:v>-1.5453259365666661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315-4F67-9B08-ABE587640D6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3"/>
        <c:axId val="1509281743"/>
        <c:axId val="344873055"/>
      </c:barChart>
      <c:lineChart>
        <c:grouping val="standard"/>
        <c:varyColors val="0"/>
        <c:ser>
          <c:idx val="2"/>
          <c:order val="0"/>
          <c:tx>
            <c:strRef>
              <c:f>Hoja1!$B$1</c:f>
              <c:strCache>
                <c:ptCount val="1"/>
                <c:pt idx="0">
                  <c:v>2022*</c:v>
                </c:pt>
              </c:strCache>
            </c:strRef>
          </c:tx>
          <c:spPr>
            <a:ln w="31750" cap="rnd" cmpd="sng" algn="ctr">
              <a:solidFill>
                <a:schemeClr val="accent4"/>
              </a:solidFill>
              <a:round/>
              <a:tailEnd type="triangle"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6"/>
            <c:spPr>
              <a:solidFill>
                <a:sysClr val="window" lastClr="FFFFFF"/>
              </a:solidFill>
              <a:ln w="9525" cap="flat" cmpd="sng" algn="ctr">
                <a:solidFill>
                  <a:sysClr val="windowText" lastClr="000000"/>
                </a:solidFill>
                <a:round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</c:marker>
          <c:dPt>
            <c:idx val="8"/>
            <c:marker>
              <c:symbol val="circle"/>
              <c:size val="6"/>
              <c:spPr>
                <a:solidFill>
                  <a:sysClr val="window" lastClr="FFFFFF"/>
                </a:solidFill>
                <a:ln w="9525" cap="flat" cmpd="sng" algn="ctr">
                  <a:solidFill>
                    <a:sysClr val="windowText" lastClr="000000"/>
                  </a:solidFill>
                  <a:round/>
                </a:ln>
                <a:effectLst>
                  <a:outerShdw blurRad="50800" dist="38100" dir="18900000" algn="b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9-E315-4F67-9B08-ABE587640D67}"/>
              </c:ext>
            </c:extLst>
          </c:dPt>
          <c:dPt>
            <c:idx val="11"/>
            <c:marker>
              <c:symbol val="none"/>
            </c:marker>
            <c:bubble3D val="0"/>
            <c:extLst>
              <c:ext xmlns:c16="http://schemas.microsoft.com/office/drawing/2014/chart" uri="{C3380CC4-5D6E-409C-BE32-E72D297353CC}">
                <c16:uniqueId val="{0000000A-E315-4F67-9B08-ABE587640D67}"/>
              </c:ext>
            </c:extLst>
          </c:dPt>
          <c:dLbls>
            <c:dLbl>
              <c:idx val="0"/>
              <c:layout>
                <c:manualLayout>
                  <c:x val="-4.3509843548699162E-2"/>
                  <c:y val="-6.9282044662449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315-4F67-9B08-ABE587640D67}"/>
                </c:ext>
              </c:extLst>
            </c:dLbl>
            <c:dLbl>
              <c:idx val="1"/>
              <c:layout>
                <c:manualLayout>
                  <c:x val="-8.2943469275642917E-2"/>
                  <c:y val="-8.38598579678405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315-4F67-9B08-ABE587640D67}"/>
                </c:ext>
              </c:extLst>
            </c:dLbl>
            <c:dLbl>
              <c:idx val="2"/>
              <c:layout>
                <c:manualLayout>
                  <c:x val="-7.0099144583671225E-2"/>
                  <c:y val="-8.42197018950612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315-4F67-9B08-ABE587640D67}"/>
                </c:ext>
              </c:extLst>
            </c:dLbl>
            <c:dLbl>
              <c:idx val="3"/>
              <c:layout>
                <c:manualLayout>
                  <c:x val="-7.0863700177012753E-2"/>
                  <c:y val="-0.1291547587134412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315-4F67-9B08-ABE587640D67}"/>
                </c:ext>
              </c:extLst>
            </c:dLbl>
            <c:dLbl>
              <c:idx val="4"/>
              <c:layout>
                <c:manualLayout>
                  <c:x val="-7.0863700177012837E-2"/>
                  <c:y val="-0.1176140778132681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315-4F67-9B08-ABE587640D67}"/>
                </c:ext>
              </c:extLst>
            </c:dLbl>
            <c:dLbl>
              <c:idx val="5"/>
              <c:layout>
                <c:manualLayout>
                  <c:x val="-3.2731538458372338E-2"/>
                  <c:y val="-0.1372170191148892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315-4F67-9B08-ABE587640D67}"/>
                </c:ext>
              </c:extLst>
            </c:dLbl>
            <c:spPr>
              <a:gradFill rotWithShape="1">
                <a:gsLst>
                  <a:gs pos="0">
                    <a:srgbClr val="8064A2">
                      <a:tint val="50000"/>
                      <a:satMod val="300000"/>
                    </a:srgbClr>
                  </a:gs>
                  <a:gs pos="35000">
                    <a:srgbClr val="8064A2">
                      <a:tint val="37000"/>
                      <a:satMod val="300000"/>
                    </a:srgbClr>
                  </a:gs>
                  <a:gs pos="100000">
                    <a:srgbClr val="8064A2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8064A2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Hoja1!$A$2:$A$10</c:f>
              <c:strCache>
                <c:ptCount val="9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</c:strCache>
            </c:strRef>
          </c:cat>
          <c:val>
            <c:numRef>
              <c:f>Hoja1!$B$2:$B$10</c:f>
              <c:numCache>
                <c:formatCode>_-* #,##0.0_-;\-* #,##0.0_-;_-* "-"??_-;_-@_-</c:formatCode>
                <c:ptCount val="9"/>
                <c:pt idx="0">
                  <c:v>7.230133261633398</c:v>
                </c:pt>
                <c:pt idx="1">
                  <c:v>15.177351372199176</c:v>
                </c:pt>
                <c:pt idx="2">
                  <c:v>17.795837484653056</c:v>
                </c:pt>
                <c:pt idx="3">
                  <c:v>11.966452242115322</c:v>
                </c:pt>
                <c:pt idx="4">
                  <c:v>13.367196699294803</c:v>
                </c:pt>
                <c:pt idx="5">
                  <c:v>14.681919088520768</c:v>
                </c:pt>
                <c:pt idx="6">
                  <c:v>14.17274556424859</c:v>
                </c:pt>
                <c:pt idx="7">
                  <c:v>15.250515790428022</c:v>
                </c:pt>
                <c:pt idx="8">
                  <c:v>16.732472374836306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11-E315-4F67-9B08-ABE587640D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9281743"/>
        <c:axId val="344873055"/>
      </c:lineChart>
      <c:catAx>
        <c:axId val="1509281743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spc="2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344873055"/>
        <c:crosses val="autoZero"/>
        <c:auto val="1"/>
        <c:lblAlgn val="ctr"/>
        <c:lblOffset val="100"/>
        <c:noMultiLvlLbl val="0"/>
      </c:catAx>
      <c:valAx>
        <c:axId val="344873055"/>
        <c:scaling>
          <c:orientation val="minMax"/>
          <c:min val="-3"/>
        </c:scaling>
        <c:delete val="0"/>
        <c:axPos val="l"/>
        <c:numFmt formatCode="#,##0_ ;[Red]\-#,##0\ 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509281743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163191810326027"/>
          <c:y val="0.90799248717763492"/>
          <c:w val="0.4267094486431775"/>
          <c:h val="9.04008793772573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legend>
    <c:plotVisOnly val="1"/>
    <c:dispBlanksAs val="gap"/>
    <c:showDLblsOverMax val="0"/>
    <c:extLst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200" b="1" i="0" baseline="0">
                <a:effectLst/>
              </a:rPr>
              <a:t>Gasto Total por clasificación MEFP</a:t>
            </a:r>
            <a:endParaRPr lang="es-GT" sz="1200">
              <a:effectLst/>
            </a:endParaRP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en-US" sz="1100" b="1" i="0" baseline="0">
                <a:effectLst/>
              </a:rPr>
              <a:t>Variación interanual acumulada a septiembre 2022*</a:t>
            </a:r>
            <a:endParaRPr lang="es-GT" sz="1100">
              <a:effectLst/>
            </a:endParaRP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en-US" sz="1000" b="0" i="0" baseline="0">
                <a:effectLst/>
              </a:rPr>
              <a:t>En millones de Quetzales</a:t>
            </a:r>
            <a:endParaRPr lang="es-GT" sz="1000">
              <a:effectLst/>
            </a:endParaRPr>
          </a:p>
        </c:rich>
      </c:tx>
      <c:layout>
        <c:manualLayout>
          <c:xMode val="edge"/>
          <c:yMode val="edge"/>
          <c:x val="0.2312361961466226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0.28972224940509295"/>
          <c:w val="1"/>
          <c:h val="0.457169337812537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2022*</c:v>
                </c:pt>
              </c:strCache>
            </c:strRef>
          </c:tx>
          <c:spPr>
            <a:solidFill>
              <a:srgbClr val="70AD47"/>
            </a:solidFill>
            <a:ln>
              <a:solidFill>
                <a:sysClr val="windowText" lastClr="000000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1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solidFill>
                  <a:sysClr val="windowText" lastClr="000000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1-DE00-4EA7-9C72-EB9A7ED39A91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accent2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E00-4EA7-9C72-EB9A7ED39A91}"/>
                </c:ext>
              </c:extLst>
            </c:dLbl>
            <c:dLbl>
              <c:idx val="7"/>
              <c:layout>
                <c:manualLayout>
                  <c:x val="0"/>
                  <c:y val="1.24057055542151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E00-4EA7-9C72-EB9A7ED39A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accent3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Hoja1!$A$2:$A$9</c:f>
              <c:strCache>
                <c:ptCount val="8"/>
                <c:pt idx="0">
                  <c:v>Gasto total</c:v>
                </c:pt>
                <c:pt idx="1">
                  <c:v>Donaciones </c:v>
                </c:pt>
                <c:pt idx="2">
                  <c:v>Subsidios </c:v>
                </c:pt>
                <c:pt idx="3">
                  <c:v>Otros gastos </c:v>
                </c:pt>
                <c:pt idx="4">
                  <c:v>Uso de bienes y servicios  </c:v>
                </c:pt>
                <c:pt idx="5">
                  <c:v>Remuneración a los empleados </c:v>
                </c:pt>
                <c:pt idx="6">
                  <c:v>Intereses </c:v>
                </c:pt>
                <c:pt idx="7">
                  <c:v>Prestaciones sociales </c:v>
                </c:pt>
              </c:strCache>
            </c:strRef>
          </c:cat>
          <c:val>
            <c:numRef>
              <c:f>Hoja1!$B$2:$B$9</c:f>
              <c:numCache>
                <c:formatCode>#,##0.0_ ;[Red]\-#,##0.0\ </c:formatCode>
                <c:ptCount val="8"/>
                <c:pt idx="0">
                  <c:v>10321.61832609</c:v>
                </c:pt>
                <c:pt idx="1">
                  <c:v>2913.4303435500024</c:v>
                </c:pt>
                <c:pt idx="2">
                  <c:v>2679.1293000699998</c:v>
                </c:pt>
                <c:pt idx="3">
                  <c:v>1447.6621764899996</c:v>
                </c:pt>
                <c:pt idx="4">
                  <c:v>1410.6990151600003</c:v>
                </c:pt>
                <c:pt idx="5">
                  <c:v>968.47684342999855</c:v>
                </c:pt>
                <c:pt idx="6">
                  <c:v>634.24638711999978</c:v>
                </c:pt>
                <c:pt idx="7">
                  <c:v>267.97426026999983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0000"/>
                  </a:solidFill>
                  <a:ln>
                    <a:solidFill>
                      <a:sysClr val="windowText" lastClr="000000"/>
                    </a:solidFill>
                  </a:ln>
                  <a:effectLst>
                    <a:outerShdw blurRad="50800" dist="38100" dir="18900000" algn="bl" rotWithShape="0">
                      <a:prstClr val="black">
                        <a:alpha val="40000"/>
                      </a:prstClr>
                    </a:outerShdw>
                  </a:effectLst>
                  <a:scene3d>
                    <a:camera prst="orthographicFront"/>
                    <a:lightRig rig="threePt" dir="t">
                      <a:rot lat="0" lon="0" rev="1200000"/>
                    </a:lightRig>
                  </a:scene3d>
                  <a:sp3d/>
                </c14:spPr>
              </c14:invertSolidFillFmt>
            </c:ext>
            <c:ext xmlns:c16="http://schemas.microsoft.com/office/drawing/2014/chart" uri="{C3380CC4-5D6E-409C-BE32-E72D297353CC}">
              <c16:uniqueId val="{00000003-DE00-4EA7-9C72-EB9A7ED39A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96122768"/>
        <c:axId val="317412256"/>
      </c:barChart>
      <c:catAx>
        <c:axId val="596122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@" sourceLinked="0"/>
        <c:majorTickMark val="none"/>
        <c:minorTickMark val="none"/>
        <c:tickLblPos val="low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317412256"/>
        <c:crosses val="autoZero"/>
        <c:auto val="0"/>
        <c:lblAlgn val="ctr"/>
        <c:lblOffset val="100"/>
        <c:noMultiLvlLbl val="0"/>
      </c:catAx>
      <c:valAx>
        <c:axId val="317412256"/>
        <c:scaling>
          <c:orientation val="minMax"/>
        </c:scaling>
        <c:delete val="1"/>
        <c:axPos val="l"/>
        <c:numFmt formatCode="#,##0.0_ ;[Red]\-#,##0.0\ " sourceLinked="1"/>
        <c:majorTickMark val="none"/>
        <c:minorTickMark val="none"/>
        <c:tickLblPos val="nextTo"/>
        <c:crossAx val="596122768"/>
        <c:crosses val="autoZero"/>
        <c:crossBetween val="between"/>
      </c:valAx>
      <c:spPr>
        <a:gradFill>
          <a:gsLst>
            <a:gs pos="0">
              <a:schemeClr val="accent1">
                <a:lumMod val="5000"/>
                <a:lumOff val="95000"/>
              </a:schemeClr>
            </a:gs>
            <a:gs pos="56000">
              <a:schemeClr val="bg1">
                <a:lumMod val="95000"/>
              </a:schemeClr>
            </a:gs>
            <a:gs pos="100000">
              <a:schemeClr val="bg1"/>
            </a:gs>
          </a:gsLst>
          <a:lin ang="5400000" scaled="1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Inversión bruta en activos no financieros</a:t>
            </a:r>
            <a:endParaRPr lang="es-GT" sz="1200">
              <a:solidFill>
                <a:sysClr val="windowText" lastClr="000000"/>
              </a:solidFill>
              <a:effectLst/>
            </a:endParaRPr>
          </a:p>
          <a:p>
            <a:pPr>
              <a:defRPr/>
            </a:pP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Cifra acumulada a septiembre de cada año</a:t>
            </a:r>
            <a:endParaRPr lang="es-GT" sz="1100">
              <a:solidFill>
                <a:sysClr val="windowText" lastClr="000000"/>
              </a:solidFill>
              <a:effectLst/>
            </a:endParaRPr>
          </a:p>
          <a:p>
            <a:pPr>
              <a:defRPr/>
            </a:pPr>
            <a:r>
              <a:rPr lang="en-US" sz="1000" b="0" i="0" baseline="0">
                <a:solidFill>
                  <a:sysClr val="windowText" lastClr="000000"/>
                </a:solidFill>
                <a:effectLst/>
              </a:rPr>
              <a:t>En millones de Quetzales</a:t>
            </a:r>
            <a:endParaRPr lang="es-GT" sz="10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2466727876040544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0.33872798478093918"/>
          <c:w val="1"/>
          <c:h val="0.390113513729565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Hoja1!$A$2</c:f>
              <c:strCache>
                <c:ptCount val="1"/>
                <c:pt idx="0">
                  <c:v>Inversión neta/bruta en activos no financieros 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solidFill>
                <a:sysClr val="windowText" lastClr="000000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3">
                        <a:lumMod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Hoja1!$B$1:$F$1</c:f>
              <c:strCache>
                <c:ptCount val="5"/>
                <c:pt idx="0">
                  <c:v>2022*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2018</c:v>
                </c:pt>
              </c:strCache>
            </c:strRef>
          </c:cat>
          <c:val>
            <c:numRef>
              <c:f>Hoja1!$B$2:$F$2</c:f>
              <c:numCache>
                <c:formatCode>#,##0.0_ ;[Red]\-#,##0.0\ </c:formatCode>
                <c:ptCount val="5"/>
                <c:pt idx="0">
                  <c:v>2540.2871155100001</c:v>
                </c:pt>
                <c:pt idx="1">
                  <c:v>2222.90949718</c:v>
                </c:pt>
                <c:pt idx="2">
                  <c:v>1913.8800744999999</c:v>
                </c:pt>
                <c:pt idx="3">
                  <c:v>3184.3695592399999</c:v>
                </c:pt>
                <c:pt idx="4">
                  <c:v>2179.14964783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F7-4409-B6F7-70C99837FA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7"/>
        <c:overlap val="-43"/>
        <c:axId val="1557017296"/>
        <c:axId val="470887616"/>
      </c:barChart>
      <c:catAx>
        <c:axId val="1557017296"/>
        <c:scaling>
          <c:orientation val="maxMin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470887616"/>
        <c:crosses val="autoZero"/>
        <c:auto val="1"/>
        <c:lblAlgn val="ctr"/>
        <c:lblOffset val="100"/>
        <c:noMultiLvlLbl val="0"/>
      </c:catAx>
      <c:valAx>
        <c:axId val="470887616"/>
        <c:scaling>
          <c:orientation val="minMax"/>
        </c:scaling>
        <c:delete val="1"/>
        <c:axPos val="r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_ ;[Red]\-#,##0.0\ " sourceLinked="1"/>
        <c:majorTickMark val="none"/>
        <c:minorTickMark val="none"/>
        <c:tickLblPos val="nextTo"/>
        <c:crossAx val="1557017296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  <c:extLst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4">
    <c:autoUpdate val="0"/>
  </c:externalData>
  <c:userShapes r:id="rId5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9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s-GT"/>
              <a:t>Flujo</a:t>
            </a:r>
            <a:r>
              <a:rPr lang="es-GT" baseline="0"/>
              <a:t> mensual  </a:t>
            </a:r>
          </a:p>
        </c:rich>
      </c:tx>
      <c:layout>
        <c:manualLayout>
          <c:xMode val="edge"/>
          <c:yMode val="edge"/>
          <c:x val="0.381879044856059"/>
          <c:y val="3.682551890094241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900" b="1" i="0" u="none" strike="noStrike" kern="1200" cap="none" spc="0" normalizeH="0" baseline="0">
              <a:solidFill>
                <a:schemeClr val="tx1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0.11162374305930002"/>
          <c:w val="1"/>
          <c:h val="0.599694177015118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Hoja1!$A$2</c:f>
              <c:strCache>
                <c:ptCount val="1"/>
                <c:pt idx="0">
                  <c:v>Adquicición neta de activos financieros</c:v>
                </c:pt>
              </c:strCache>
            </c:strRef>
          </c:tx>
          <c:spPr>
            <a:solidFill>
              <a:srgbClr val="9BBB59"/>
            </a:solidFill>
            <a:ln>
              <a:solidFill>
                <a:schemeClr val="tx1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invertIfNegative val="1"/>
          <c:dPt>
            <c:idx val="3"/>
            <c:invertIfNegative val="1"/>
            <c:bubble3D val="0"/>
            <c:spPr>
              <a:solidFill>
                <a:srgbClr val="C00000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F5A-4516-A758-482FB4948230}"/>
              </c:ext>
            </c:extLst>
          </c:dPt>
          <c:dPt>
            <c:idx val="6"/>
            <c:invertIfNegative val="1"/>
            <c:bubble3D val="0"/>
            <c:spPr>
              <a:solidFill>
                <a:srgbClr val="9BBB59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F785-4700-B38B-76B949A323CB}"/>
              </c:ext>
            </c:extLst>
          </c:dPt>
          <c:dPt>
            <c:idx val="9"/>
            <c:invertIfNegative val="1"/>
            <c:bubble3D val="0"/>
            <c:spPr>
              <a:solidFill>
                <a:srgbClr val="1F497D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7D05-40F5-B5EB-0F479E5F8AF4}"/>
              </c:ext>
            </c:extLst>
          </c:dPt>
          <c:dPt>
            <c:idx val="12"/>
            <c:invertIfNegative val="1"/>
            <c:bubble3D val="0"/>
            <c:spPr>
              <a:solidFill>
                <a:srgbClr val="9BBB59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FD50-4E40-8B03-F23CCCAC8D6F}"/>
              </c:ext>
            </c:extLst>
          </c:dPt>
          <c:dLbls>
            <c:dLbl>
              <c:idx val="0"/>
              <c:layout>
                <c:manualLayout>
                  <c:x val="0"/>
                  <c:y val="1.52613506295307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F5A-4516-A758-482FB4948230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F5A-4516-A758-482FB4948230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F5A-4516-A758-482FB4948230}"/>
                </c:ext>
              </c:extLst>
            </c:dLbl>
            <c:dLbl>
              <c:idx val="3"/>
              <c:layout>
                <c:manualLayout>
                  <c:x val="-3.5632889305245458E-17"/>
                  <c:y val="-3.9385584875935409E-2"/>
                </c:manualLayout>
              </c:layout>
              <c:numFmt formatCode="#,##0.0_ ;[Red]\-#,##0.0\ 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F5A-4516-A758-482FB4948230}"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785-4700-B38B-76B949A323CB}"/>
                </c:ext>
              </c:extLst>
            </c:dLbl>
            <c:dLbl>
              <c:idx val="5"/>
              <c:layout>
                <c:manualLayout>
                  <c:x val="0"/>
                  <c:y val="-2.3631350925561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785-4700-B38B-76B949A323CB}"/>
                </c:ext>
              </c:extLst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785-4700-B38B-76B949A323CB}"/>
                </c:ext>
              </c:extLst>
            </c:dLbl>
            <c:dLbl>
              <c:idx val="7"/>
              <c:layout>
                <c:manualLayout>
                  <c:x val="0"/>
                  <c:y val="1.8450184501845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D05-40F5-B5EB-0F479E5F8AF4}"/>
                </c:ext>
              </c:extLst>
            </c:dLbl>
            <c:dLbl>
              <c:idx val="8"/>
              <c:layout>
                <c:manualLayout>
                  <c:x val="4.4632894443203007E-3"/>
                  <c:y val="-6.89030649427978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D05-40F5-B5EB-0F479E5F8AF4}"/>
                </c:ext>
              </c:extLst>
            </c:dLbl>
            <c:dLbl>
              <c:idx val="9"/>
              <c:layout>
                <c:manualLayout>
                  <c:x val="0"/>
                  <c:y val="-8.918259237459418E-3"/>
                </c:manualLayout>
              </c:layout>
              <c:numFmt formatCode="#,##0.0_ ;[Red]\-#,##0.0\ 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7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s-G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D05-40F5-B5EB-0F479E5F8AF4}"/>
                </c:ext>
              </c:extLst>
            </c:dLbl>
            <c:dLbl>
              <c:idx val="10"/>
              <c:layout>
                <c:manualLayout>
                  <c:x val="0"/>
                  <c:y val="1.52613506295307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D50-4E40-8B03-F23CCCAC8D6F}"/>
                </c:ext>
              </c:extLst>
            </c:dLbl>
            <c:dLbl>
              <c:idx val="12"/>
              <c:layout>
                <c:manualLayout>
                  <c:x val="0"/>
                  <c:y val="-3.7815844776297011E-1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D50-4E40-8B03-F23CCCAC8D6F}"/>
                </c:ext>
              </c:extLst>
            </c:dLbl>
            <c:numFmt formatCode="#,##0.0_ ;[Red]\-#,##0.0\ 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Hoja1!$B$1:$K$1</c:f>
              <c:strCache>
                <c:ptCount val="10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Total</c:v>
                </c:pt>
              </c:strCache>
            </c:strRef>
          </c:cat>
          <c:val>
            <c:numRef>
              <c:f>Hoja1!$B$2:$K$2</c:f>
              <c:numCache>
                <c:formatCode>#,##0.00</c:formatCode>
                <c:ptCount val="10"/>
                <c:pt idx="0">
                  <c:v>843.38368503999993</c:v>
                </c:pt>
                <c:pt idx="1">
                  <c:v>-543.77720816999999</c:v>
                </c:pt>
                <c:pt idx="2">
                  <c:v>2221.4811542399998</c:v>
                </c:pt>
                <c:pt idx="3">
                  <c:v>-726.13355794999995</c:v>
                </c:pt>
                <c:pt idx="4">
                  <c:v>1415.02429579</c:v>
                </c:pt>
                <c:pt idx="5">
                  <c:v>-4530.8845092299998</c:v>
                </c:pt>
                <c:pt idx="6">
                  <c:v>1253.8127003</c:v>
                </c:pt>
                <c:pt idx="7">
                  <c:v>1957.79793829</c:v>
                </c:pt>
                <c:pt idx="8">
                  <c:v>1559.7054333699998</c:v>
                </c:pt>
                <c:pt idx="9">
                  <c:v>3450.4099316799993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C00000"/>
                  </a:solidFill>
                  <a:ln>
                    <a:solidFill>
                      <a:schemeClr val="tx1"/>
                    </a:solidFill>
                  </a:ln>
                  <a:effectLst>
                    <a:outerShdw blurRad="50800" dist="38100" dir="18900000" algn="bl" rotWithShape="0">
                      <a:prstClr val="black">
                        <a:alpha val="40000"/>
                      </a:prstClr>
                    </a:outerShdw>
                  </a:effectLst>
                </c14:spPr>
              </c14:invertSolidFillFmt>
            </c:ext>
            <c:ext xmlns:c16="http://schemas.microsoft.com/office/drawing/2014/chart" uri="{C3380CC4-5D6E-409C-BE32-E72D297353CC}">
              <c16:uniqueId val="{00000005-2F5A-4516-A758-482FB494823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83"/>
        <c:overlap val="7"/>
        <c:axId val="152970912"/>
        <c:axId val="152969984"/>
      </c:barChart>
      <c:catAx>
        <c:axId val="1529709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52969984"/>
        <c:crosses val="autoZero"/>
        <c:auto val="1"/>
        <c:lblAlgn val="ctr"/>
        <c:lblOffset val="100"/>
        <c:noMultiLvlLbl val="0"/>
      </c:catAx>
      <c:valAx>
        <c:axId val="152969984"/>
        <c:scaling>
          <c:orientation val="minMax"/>
          <c:min val="-5500"/>
        </c:scaling>
        <c:delete val="0"/>
        <c:axPos val="l"/>
        <c:numFmt formatCode="#,##0_ ;[Red]\-#,##0\ 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52970912"/>
        <c:crosses val="autoZero"/>
        <c:crossBetween val="between"/>
      </c:valAx>
      <c:spPr>
        <a:pattFill prst="ltDnDiag">
          <a:fgClr>
            <a:srgbClr val="000000">
              <a:alpha val="0"/>
            </a:srgbClr>
          </a:fgClr>
          <a:bgClr>
            <a:srgbClr val="FFFFFF"/>
          </a:bgClr>
        </a:pattFill>
        <a:ln w="25400">
          <a:noFill/>
        </a:ln>
        <a:effectLst/>
      </c:spPr>
    </c:plotArea>
    <c:plotVisOnly val="1"/>
    <c:dispBlanksAs val="gap"/>
    <c:showDLblsOverMax val="0"/>
    <c:extLst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s-GT" sz="1000"/>
              <a:t>Por</a:t>
            </a:r>
            <a:r>
              <a:rPr lang="es-GT" sz="1000" baseline="0"/>
              <a:t> tipo de instrumento</a:t>
            </a:r>
          </a:p>
          <a:p>
            <a:pPr>
              <a:defRPr b="1">
                <a:solidFill>
                  <a:schemeClr val="tx1"/>
                </a:solidFill>
              </a:defRPr>
            </a:pPr>
            <a:r>
              <a:rPr lang="es-GT" sz="1000" baseline="0"/>
              <a:t>Cifra acumulada</a:t>
            </a:r>
            <a:endParaRPr lang="es-GT" sz="1000"/>
          </a:p>
        </c:rich>
      </c:tx>
      <c:layout>
        <c:manualLayout>
          <c:xMode val="edge"/>
          <c:yMode val="edge"/>
          <c:x val="0.2247214090910839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cap="none" spc="0" normalizeH="0" baseline="0">
              <a:solidFill>
                <a:schemeClr val="tx1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3.9653035935563817E-2"/>
          <c:y val="0.29054059942111982"/>
          <c:w val="0.62471055430338851"/>
          <c:h val="0.66421794113680444"/>
        </c:manualLayout>
      </c:layout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Junio</c:v>
                </c:pt>
              </c:strCache>
            </c:strRef>
          </c:tx>
          <c:spPr>
            <a:ln>
              <a:solidFill>
                <a:schemeClr val="tx1"/>
              </a:solidFill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explosion val="2"/>
          <c:dPt>
            <c:idx val="0"/>
            <c:bubble3D val="0"/>
            <c:spPr>
              <a:solidFill>
                <a:schemeClr val="accent1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7F2-407C-BE81-289EFBC09B1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7F2-407C-BE81-289EFBC09B14}"/>
              </c:ext>
            </c:extLst>
          </c:dPt>
          <c:dPt>
            <c:idx val="2"/>
            <c:bubble3D val="0"/>
            <c:explosion val="0"/>
            <c:spPr>
              <a:solidFill>
                <a:schemeClr val="accent3"/>
              </a:solidFill>
              <a:ln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B77-4057-BDEF-713810EFA7DF}"/>
              </c:ext>
            </c:extLst>
          </c:dPt>
          <c:dLbls>
            <c:dLbl>
              <c:idx val="0"/>
              <c:layout>
                <c:manualLayout>
                  <c:x val="0.4091726917034999"/>
                  <c:y val="-0.34684261305281505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5051468938129946"/>
                      <c:h val="0.1745089637646884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7F2-407C-BE81-289EFBC09B14}"/>
                </c:ext>
              </c:extLst>
            </c:dLbl>
            <c:dLbl>
              <c:idx val="1"/>
              <c:layout>
                <c:manualLayout>
                  <c:x val="0.10306276771165677"/>
                  <c:y val="-1.422032720218273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280108109162929"/>
                      <c:h val="0.181575425601444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7F2-407C-BE81-289EFBC09B14}"/>
                </c:ext>
              </c:extLst>
            </c:dLbl>
            <c:dLbl>
              <c:idx val="2"/>
              <c:layout>
                <c:manualLayout>
                  <c:x val="-2.9101659690308229E-2"/>
                  <c:y val="2.6110755590180203E-2"/>
                </c:manualLayout>
              </c:layout>
              <c:dLblPos val="bestFit"/>
              <c:showLegendKey val="1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40491643005590838"/>
                      <c:h val="0.2538471383656547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1B77-4057-BDEF-713810EFA7DF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dLblPos val="bestFit"/>
            <c:showLegendKey val="1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Hoja1!$A$2:$A$4</c:f>
              <c:strCache>
                <c:ptCount val="3"/>
                <c:pt idx="0">
                  <c:v>Billetes, monedas y depósitos</c:v>
                </c:pt>
                <c:pt idx="1">
                  <c:v>Préstamos</c:v>
                </c:pt>
                <c:pt idx="2">
                  <c:v>Participaciones de capital y en fondos de inversión</c:v>
                </c:pt>
              </c:strCache>
            </c:strRef>
          </c:cat>
          <c:val>
            <c:numRef>
              <c:f>Hoja1!$B$2:$B$4</c:f>
              <c:numCache>
                <c:formatCode>"Q"#,##0.0</c:formatCode>
                <c:ptCount val="3"/>
                <c:pt idx="0">
                  <c:v>3474.3</c:v>
                </c:pt>
                <c:pt idx="1">
                  <c:v>-23.947622209999999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7F2-407C-BE81-289EFBC09B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90"/>
      </c:pieChart>
      <c:spPr>
        <a:noFill/>
        <a:ln>
          <a:noFill/>
        </a:ln>
        <a:effectLst/>
      </c:spPr>
    </c:plotArea>
    <c:plotVisOnly val="1"/>
    <c:dispBlanksAs val="gap"/>
    <c:showDLblsOverMax val="0"/>
    <c:extLst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9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en-US" sz="900" b="1" i="0">
                <a:solidFill>
                  <a:schemeClr val="tx1"/>
                </a:solidFill>
              </a:rPr>
              <a:t>Flujo Mensual</a:t>
            </a:r>
          </a:p>
        </c:rich>
      </c:tx>
      <c:layout>
        <c:manualLayout>
          <c:xMode val="edge"/>
          <c:yMode val="edge"/>
          <c:x val="0.35417726104549435"/>
          <c:y val="9.8328416912487702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900" b="1" i="0" u="none" strike="noStrike" kern="1200" cap="none" spc="0" normalizeH="0" baseline="0">
              <a:solidFill>
                <a:schemeClr val="tx1"/>
              </a:solidFill>
              <a:latin typeface="Times New Roman" panose="02020603050405020304" pitchFamily="18" charset="0"/>
              <a:ea typeface="+mj-ea"/>
              <a:cs typeface="Times New Roman" panose="02020603050405020304" pitchFamily="18" charset="0"/>
            </a:defRPr>
          </a:pPr>
          <a:endParaRPr lang="es-GT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9.1218054436108878E-2"/>
          <c:w val="1"/>
          <c:h val="0.519780925217165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Hoja1!$A$2</c:f>
              <c:strCache>
                <c:ptCount val="1"/>
                <c:pt idx="0">
                  <c:v>Categoría 1</c:v>
                </c:pt>
              </c:strCache>
            </c:strRef>
          </c:tx>
          <c:spPr>
            <a:noFill/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noFill/>
              <a:ln w="15875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769-4AB4-9BC6-A089E7623838}"/>
              </c:ext>
            </c:extLst>
          </c:dPt>
          <c:dPt>
            <c:idx val="6"/>
            <c:invertIfNegative val="0"/>
            <c:bubble3D val="0"/>
            <c:spPr>
              <a:noFill/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769-4AB4-9BC6-A089E7623838}"/>
              </c:ext>
            </c:extLst>
          </c:dPt>
          <c:dPt>
            <c:idx val="9"/>
            <c:invertIfNegative val="0"/>
            <c:bubble3D val="0"/>
            <c:spPr>
              <a:solidFill>
                <a:schemeClr val="tx2"/>
              </a:solidFill>
              <a:ln w="12700">
                <a:solidFill>
                  <a:schemeClr val="tx1"/>
                </a:solidFill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769-4AB4-9BC6-A089E7623838}"/>
              </c:ext>
            </c:extLst>
          </c:dPt>
          <c:dPt>
            <c:idx val="12"/>
            <c:invertIfNegative val="0"/>
            <c:bubble3D val="0"/>
            <c:spPr>
              <a:noFill/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769-4AB4-9BC6-A089E7623838}"/>
              </c:ext>
            </c:extLst>
          </c:dPt>
          <c:dLbls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769-4AB4-9BC6-A089E7623838}"/>
                </c:ext>
              </c:extLst>
            </c:dLbl>
            <c:dLbl>
              <c:idx val="9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769-4AB4-9BC6-A089E76238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Hoja1!$B$1:$K$1</c:f>
              <c:strCache>
                <c:ptCount val="10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Total</c:v>
                </c:pt>
              </c:strCache>
            </c:strRef>
          </c:cat>
          <c:val>
            <c:numRef>
              <c:f>Hoja1!$B$2:$K$2</c:f>
              <c:numCache>
                <c:formatCode>_-* #,##0.0_-;\-* #,##0.0_-;_-* "-"??_-;_-@_-</c:formatCode>
                <c:ptCount val="10"/>
                <c:pt idx="0">
                  <c:v>-256.09263464999998</c:v>
                </c:pt>
                <c:pt idx="1">
                  <c:v>-394.84945904000006</c:v>
                </c:pt>
                <c:pt idx="2">
                  <c:v>3083.4170224600002</c:v>
                </c:pt>
                <c:pt idx="3">
                  <c:v>-44.828710330000028</c:v>
                </c:pt>
                <c:pt idx="4">
                  <c:v>757.96052084999985</c:v>
                </c:pt>
                <c:pt idx="5">
                  <c:v>-3398.3417781699986</c:v>
                </c:pt>
                <c:pt idx="6">
                  <c:v>3869.5060893399996</c:v>
                </c:pt>
                <c:pt idx="7">
                  <c:v>5654.36393314</c:v>
                </c:pt>
                <c:pt idx="8">
                  <c:v>-89.92834861</c:v>
                </c:pt>
                <c:pt idx="9">
                  <c:v>9181.2066349900015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769-4AB4-9BC6-A089E762383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83"/>
        <c:overlap val="7"/>
        <c:axId val="152970912"/>
        <c:axId val="152969984"/>
      </c:barChart>
      <c:lineChart>
        <c:grouping val="standard"/>
        <c:varyColors val="0"/>
        <c:ser>
          <c:idx val="1"/>
          <c:order val="1"/>
          <c:tx>
            <c:strRef>
              <c:f>Hoja1!$A$3</c:f>
              <c:strCache>
                <c:ptCount val="1"/>
                <c:pt idx="0">
                  <c:v>Categoría 2</c:v>
                </c:pt>
              </c:strCache>
            </c:strRef>
          </c:tx>
          <c:spPr>
            <a:ln w="22225" cap="rnd">
              <a:noFill/>
              <a:round/>
            </a:ln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21"/>
            <c:spPr>
              <a:solidFill>
                <a:schemeClr val="accent6">
                  <a:lumMod val="20000"/>
                  <a:lumOff val="80000"/>
                </a:schemeClr>
              </a:solidFill>
              <a:ln w="15875">
                <a:solidFill>
                  <a:schemeClr val="accent2"/>
                </a:solidFill>
                <a:round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</c:marker>
          <c:dPt>
            <c:idx val="0"/>
            <c:marker>
              <c:symbol val="circle"/>
              <c:size val="21"/>
              <c:spPr>
                <a:solidFill>
                  <a:schemeClr val="accent3">
                    <a:lumMod val="20000"/>
                    <a:lumOff val="80000"/>
                  </a:schemeClr>
                </a:solidFill>
                <a:ln w="15875">
                  <a:solidFill>
                    <a:schemeClr val="accent2"/>
                  </a:solidFill>
                  <a:round/>
                </a:ln>
                <a:effectLst>
                  <a:outerShdw blurRad="50800" dist="38100" dir="18900000" algn="b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9-5769-4AB4-9BC6-A089E7623838}"/>
              </c:ext>
            </c:extLst>
          </c:dPt>
          <c:dPt>
            <c:idx val="1"/>
            <c:marker>
              <c:symbol val="circle"/>
              <c:size val="21"/>
              <c:spPr>
                <a:solidFill>
                  <a:schemeClr val="accent3">
                    <a:lumMod val="20000"/>
                    <a:lumOff val="80000"/>
                  </a:schemeClr>
                </a:solidFill>
                <a:ln w="15875">
                  <a:solidFill>
                    <a:schemeClr val="accent2"/>
                  </a:solidFill>
                  <a:round/>
                </a:ln>
                <a:effectLst>
                  <a:outerShdw blurRad="50800" dist="38100" dir="18900000" algn="b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A-5769-4AB4-9BC6-A089E7623838}"/>
              </c:ext>
            </c:extLst>
          </c:dPt>
          <c:dPt>
            <c:idx val="2"/>
            <c:marker>
              <c:symbol val="circle"/>
              <c:size val="21"/>
              <c:spPr>
                <a:solidFill>
                  <a:schemeClr val="accent6">
                    <a:lumMod val="40000"/>
                    <a:lumOff val="60000"/>
                  </a:schemeClr>
                </a:solidFill>
                <a:ln w="15875">
                  <a:solidFill>
                    <a:schemeClr val="accent2"/>
                  </a:solidFill>
                  <a:round/>
                </a:ln>
                <a:effectLst>
                  <a:outerShdw blurRad="50800" dist="38100" dir="18900000" algn="b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B-5769-4AB4-9BC6-A089E7623838}"/>
              </c:ext>
            </c:extLst>
          </c:dPt>
          <c:dPt>
            <c:idx val="3"/>
            <c:marker>
              <c:symbol val="circle"/>
              <c:size val="21"/>
              <c:spPr>
                <a:solidFill>
                  <a:schemeClr val="accent3">
                    <a:lumMod val="20000"/>
                    <a:lumOff val="80000"/>
                  </a:schemeClr>
                </a:solidFill>
                <a:ln w="15875">
                  <a:solidFill>
                    <a:schemeClr val="accent2"/>
                  </a:solidFill>
                  <a:round/>
                </a:ln>
                <a:effectLst>
                  <a:outerShdw blurRad="50800" dist="38100" dir="18900000" algn="b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C-5769-4AB4-9BC6-A089E7623838}"/>
              </c:ext>
            </c:extLst>
          </c:dPt>
          <c:dPt>
            <c:idx val="4"/>
            <c:marker>
              <c:symbol val="circle"/>
              <c:size val="21"/>
              <c:spPr>
                <a:solidFill>
                  <a:schemeClr val="accent6">
                    <a:lumMod val="40000"/>
                    <a:lumOff val="60000"/>
                  </a:schemeClr>
                </a:solidFill>
                <a:ln w="15875">
                  <a:solidFill>
                    <a:schemeClr val="accent2"/>
                  </a:solidFill>
                  <a:round/>
                </a:ln>
                <a:effectLst>
                  <a:outerShdw blurRad="50800" dist="38100" dir="18900000" algn="b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4-5769-4AB4-9BC6-A089E7623838}"/>
              </c:ext>
            </c:extLst>
          </c:dPt>
          <c:dPt>
            <c:idx val="5"/>
            <c:marker>
              <c:symbol val="circle"/>
              <c:size val="21"/>
              <c:spPr>
                <a:solidFill>
                  <a:schemeClr val="accent3">
                    <a:lumMod val="20000"/>
                    <a:lumOff val="80000"/>
                  </a:schemeClr>
                </a:solidFill>
                <a:ln w="15875">
                  <a:solidFill>
                    <a:schemeClr val="accent2"/>
                  </a:solidFill>
                  <a:round/>
                </a:ln>
                <a:effectLst>
                  <a:outerShdw blurRad="50800" dist="38100" dir="18900000" algn="b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D-5769-4AB4-9BC6-A089E7623838}"/>
              </c:ext>
            </c:extLst>
          </c:dPt>
          <c:dPt>
            <c:idx val="6"/>
            <c:marker>
              <c:symbol val="circle"/>
              <c:size val="21"/>
              <c:spPr>
                <a:solidFill>
                  <a:schemeClr val="accent6">
                    <a:lumMod val="40000"/>
                    <a:lumOff val="60000"/>
                  </a:schemeClr>
                </a:solidFill>
                <a:ln w="15875">
                  <a:solidFill>
                    <a:schemeClr val="accent2"/>
                  </a:solidFill>
                  <a:round/>
                </a:ln>
                <a:effectLst>
                  <a:outerShdw blurRad="50800" dist="38100" dir="18900000" algn="b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  <c:spPr>
              <a:ln w="22225" cap="rnd">
                <a:noFill/>
                <a:round/>
              </a:ln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5769-4AB4-9BC6-A089E7623838}"/>
              </c:ext>
            </c:extLst>
          </c:dPt>
          <c:dPt>
            <c:idx val="7"/>
            <c:marker>
              <c:symbol val="circle"/>
              <c:size val="21"/>
              <c:spPr>
                <a:solidFill>
                  <a:schemeClr val="accent6">
                    <a:lumMod val="40000"/>
                    <a:lumOff val="60000"/>
                  </a:schemeClr>
                </a:solidFill>
                <a:ln w="15875">
                  <a:solidFill>
                    <a:schemeClr val="accent2"/>
                  </a:solidFill>
                  <a:round/>
                </a:ln>
                <a:effectLst>
                  <a:outerShdw blurRad="50800" dist="38100" dir="18900000" algn="b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0-5769-4AB4-9BC6-A089E7623838}"/>
              </c:ext>
            </c:extLst>
          </c:dPt>
          <c:dPt>
            <c:idx val="8"/>
            <c:marker>
              <c:symbol val="circle"/>
              <c:size val="21"/>
              <c:spPr>
                <a:solidFill>
                  <a:schemeClr val="accent3">
                    <a:lumMod val="20000"/>
                    <a:lumOff val="80000"/>
                  </a:schemeClr>
                </a:solidFill>
                <a:ln w="15875">
                  <a:solidFill>
                    <a:schemeClr val="accent2"/>
                  </a:solidFill>
                  <a:round/>
                </a:ln>
                <a:effectLst>
                  <a:outerShdw blurRad="50800" dist="38100" dir="18900000" algn="b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5-5769-4AB4-9BC6-A089E7623838}"/>
              </c:ext>
            </c:extLst>
          </c:dPt>
          <c:dPt>
            <c:idx val="11"/>
            <c:marker>
              <c:symbol val="circle"/>
              <c:size val="21"/>
              <c:spPr>
                <a:solidFill>
                  <a:schemeClr val="accent3">
                    <a:lumMod val="20000"/>
                    <a:lumOff val="80000"/>
                  </a:schemeClr>
                </a:solidFill>
                <a:ln w="15875">
                  <a:solidFill>
                    <a:schemeClr val="accent2"/>
                  </a:solidFill>
                  <a:round/>
                </a:ln>
                <a:effectLst>
                  <a:outerShdw blurRad="50800" dist="38100" dir="18900000" algn="bl" rotWithShape="0">
                    <a:prstClr val="black">
                      <a:alpha val="40000"/>
                    </a:prstClr>
                  </a:outerShdw>
                </a:effectLst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11-5769-4AB4-9BC6-A089E7623838}"/>
              </c:ext>
            </c:extLst>
          </c:dPt>
          <c:dLbls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5769-4AB4-9BC6-A089E7623838}"/>
                </c:ext>
              </c:extLst>
            </c:dLbl>
            <c:numFmt formatCode="#,##0.0_ ;[Red]\-#,##0.0\ 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G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Hoja1!$B$1:$K$1</c:f>
              <c:strCache>
                <c:ptCount val="10"/>
                <c:pt idx="0">
                  <c:v>Enero</c:v>
                </c:pt>
                <c:pt idx="1">
                  <c:v>Febrero</c:v>
                </c:pt>
                <c:pt idx="2">
                  <c:v>Marzo</c:v>
                </c:pt>
                <c:pt idx="3">
                  <c:v>Abril</c:v>
                </c:pt>
                <c:pt idx="4">
                  <c:v>Mayo</c:v>
                </c:pt>
                <c:pt idx="5">
                  <c:v>Junio</c:v>
                </c:pt>
                <c:pt idx="6">
                  <c:v>Julio</c:v>
                </c:pt>
                <c:pt idx="7">
                  <c:v>Agosto</c:v>
                </c:pt>
                <c:pt idx="8">
                  <c:v>Septiembre</c:v>
                </c:pt>
                <c:pt idx="9">
                  <c:v>Total</c:v>
                </c:pt>
              </c:strCache>
            </c:strRef>
          </c:cat>
          <c:val>
            <c:numRef>
              <c:f>Hoja1!$B$3:$K$3</c:f>
              <c:numCache>
                <c:formatCode>_-* #,##0.0_-;\-* #,##0.0_-;_-* "-"??_-;_-@_-</c:formatCode>
                <c:ptCount val="10"/>
                <c:pt idx="0">
                  <c:v>-256.09263464999998</c:v>
                </c:pt>
                <c:pt idx="1">
                  <c:v>-394.84945904000006</c:v>
                </c:pt>
                <c:pt idx="2">
                  <c:v>3083.4170224600002</c:v>
                </c:pt>
                <c:pt idx="3">
                  <c:v>-44.828710330000028</c:v>
                </c:pt>
                <c:pt idx="4">
                  <c:v>757.96052084999985</c:v>
                </c:pt>
                <c:pt idx="5">
                  <c:v>-3398.3417781699986</c:v>
                </c:pt>
                <c:pt idx="6">
                  <c:v>3869.5060893399996</c:v>
                </c:pt>
                <c:pt idx="7">
                  <c:v>5654.36393314</c:v>
                </c:pt>
                <c:pt idx="8">
                  <c:v>-89.92834861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5769-4AB4-9BC6-A089E76238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970912"/>
        <c:axId val="152969984"/>
      </c:lineChart>
      <c:catAx>
        <c:axId val="152970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52969984"/>
        <c:crosses val="autoZero"/>
        <c:auto val="1"/>
        <c:lblAlgn val="ctr"/>
        <c:lblOffset val="100"/>
        <c:noMultiLvlLbl val="0"/>
      </c:catAx>
      <c:valAx>
        <c:axId val="152969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_ ;[Red]\-#,##0\ 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GT"/>
          </a:p>
        </c:txPr>
        <c:crossAx val="152970912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GT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2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  <a:alpha val="54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  <a:alpha val="51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27429C-5B6E-468F-AF42-BE9281FF2A23}" type="doc">
      <dgm:prSet loTypeId="urn:microsoft.com/office/officeart/2005/8/layout/list1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8DFCB13-F778-41C4-88A6-8A8793BBCF6B}">
      <dgm:prSet phldrT="[Texto]" custT="1"/>
      <dgm:spPr/>
      <dgm:t>
        <a:bodyPr/>
        <a:lstStyle/>
        <a:p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gm:t>
    </dgm:pt>
    <dgm:pt modelId="{55E528F8-5473-447A-B4D6-39039A5FF545}" type="par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C21111-088F-4CAC-A53E-A2F91EF73064}" type="sib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C29C0B-230A-4A2F-B7AB-59E88CC6B709}">
      <dgm:prSet phldrT="[Texto]" custT="1"/>
      <dgm:spPr/>
      <dgm:t>
        <a:bodyPr/>
        <a:lstStyle/>
        <a:p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Hay una diferencia importante entre la definición de "ingreso" en la metodología nacional y los es</a:t>
          </a:r>
          <a:r>
            <a:rPr lang="en-US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tán</a:t>
          </a: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dares internacionales.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En los </a:t>
          </a:r>
          <a:r>
            <a:rPr lang="en-US" sz="1000" b="1" strike="noStrike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 internacionales, un ingreso es un aumento del patrimonio neto como resultado de una transacción (MEFP 2014) </a:t>
          </a:r>
        </a:p>
      </dgm:t>
    </dgm:pt>
    <dgm:pt modelId="{BD00C7DA-D115-4DC8-96E9-9A8238F85148}" type="par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EB422C-F1D3-4985-A61D-252683A994E5}" type="sib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323760A-CAC8-432D-A020-F77BFA77D735}" type="pres">
      <dgm:prSet presAssocID="{FF27429C-5B6E-468F-AF42-BE9281FF2A23}" presName="linear" presStyleCnt="0">
        <dgm:presLayoutVars>
          <dgm:dir/>
          <dgm:animLvl val="lvl"/>
          <dgm:resizeHandles val="exact"/>
        </dgm:presLayoutVars>
      </dgm:prSet>
      <dgm:spPr/>
    </dgm:pt>
    <dgm:pt modelId="{6E63B848-FDAE-4891-8566-8BE88B653316}" type="pres">
      <dgm:prSet presAssocID="{68DFCB13-F778-41C4-88A6-8A8793BBCF6B}" presName="parentLin" presStyleCnt="0"/>
      <dgm:spPr/>
    </dgm:pt>
    <dgm:pt modelId="{374EA5B0-C6AD-46BF-9645-7F0ED252FE66}" type="pres">
      <dgm:prSet presAssocID="{68DFCB13-F778-41C4-88A6-8A8793BBCF6B}" presName="parentLeftMargin" presStyleLbl="node1" presStyleIdx="0" presStyleCnt="1"/>
      <dgm:spPr/>
    </dgm:pt>
    <dgm:pt modelId="{377E1CD8-0067-463D-AA47-7581C029D7D4}" type="pres">
      <dgm:prSet presAssocID="{68DFCB13-F778-41C4-88A6-8A8793BBCF6B}" presName="parentText" presStyleLbl="node1" presStyleIdx="0" presStyleCnt="1" custScaleX="33793">
        <dgm:presLayoutVars>
          <dgm:chMax val="0"/>
          <dgm:bulletEnabled val="1"/>
        </dgm:presLayoutVars>
      </dgm:prSet>
      <dgm:spPr/>
    </dgm:pt>
    <dgm:pt modelId="{8C78493C-3C9C-4FDF-89DE-DDAC27488222}" type="pres">
      <dgm:prSet presAssocID="{68DFCB13-F778-41C4-88A6-8A8793BBCF6B}" presName="negativeSpace" presStyleCnt="0"/>
      <dgm:spPr/>
    </dgm:pt>
    <dgm:pt modelId="{1111B519-2F2F-4512-95FE-D2216303CCBE}" type="pres">
      <dgm:prSet presAssocID="{68DFCB13-F778-41C4-88A6-8A8793BBCF6B}" presName="childText" presStyleLbl="conFgAcc1" presStyleIdx="0" presStyleCnt="1">
        <dgm:presLayoutVars>
          <dgm:bulletEnabled val="1"/>
        </dgm:presLayoutVars>
      </dgm:prSet>
      <dgm:spPr/>
    </dgm:pt>
  </dgm:ptLst>
  <dgm:cxnLst>
    <dgm:cxn modelId="{2B97E307-DDDC-45DC-9CA7-632648FED3B9}" type="presOf" srcId="{01C29C0B-230A-4A2F-B7AB-59E88CC6B709}" destId="{1111B519-2F2F-4512-95FE-D2216303CCBE}" srcOrd="0" destOrd="0" presId="urn:microsoft.com/office/officeart/2005/8/layout/list1"/>
    <dgm:cxn modelId="{E9E7F310-CA62-40CB-950B-C2B09700E887}" type="presOf" srcId="{FF27429C-5B6E-468F-AF42-BE9281FF2A23}" destId="{7323760A-CAC8-432D-A020-F77BFA77D735}" srcOrd="0" destOrd="0" presId="urn:microsoft.com/office/officeart/2005/8/layout/list1"/>
    <dgm:cxn modelId="{9E117C35-F0A3-4260-AE5F-3261DFB7C6EE}" srcId="{FF27429C-5B6E-468F-AF42-BE9281FF2A23}" destId="{68DFCB13-F778-41C4-88A6-8A8793BBCF6B}" srcOrd="0" destOrd="0" parTransId="{55E528F8-5473-447A-B4D6-39039A5FF545}" sibTransId="{18C21111-088F-4CAC-A53E-A2F91EF73064}"/>
    <dgm:cxn modelId="{CF9E1A65-553C-4315-9B4D-6922C5CF2185}" type="presOf" srcId="{68DFCB13-F778-41C4-88A6-8A8793BBCF6B}" destId="{377E1CD8-0067-463D-AA47-7581C029D7D4}" srcOrd="1" destOrd="0" presId="urn:microsoft.com/office/officeart/2005/8/layout/list1"/>
    <dgm:cxn modelId="{047B5950-955A-4E9C-890F-03A957F573F6}" srcId="{68DFCB13-F778-41C4-88A6-8A8793BBCF6B}" destId="{01C29C0B-230A-4A2F-B7AB-59E88CC6B709}" srcOrd="0" destOrd="0" parTransId="{BD00C7DA-D115-4DC8-96E9-9A8238F85148}" sibTransId="{65EB422C-F1D3-4985-A61D-252683A994E5}"/>
    <dgm:cxn modelId="{3FDC437B-7FEB-4570-9F57-FAA88171B111}" type="presOf" srcId="{68DFCB13-F778-41C4-88A6-8A8793BBCF6B}" destId="{374EA5B0-C6AD-46BF-9645-7F0ED252FE66}" srcOrd="0" destOrd="0" presId="urn:microsoft.com/office/officeart/2005/8/layout/list1"/>
    <dgm:cxn modelId="{4BC55A49-751C-408F-B176-B7C4C361EF7E}" type="presParOf" srcId="{7323760A-CAC8-432D-A020-F77BFA77D735}" destId="{6E63B848-FDAE-4891-8566-8BE88B653316}" srcOrd="0" destOrd="0" presId="urn:microsoft.com/office/officeart/2005/8/layout/list1"/>
    <dgm:cxn modelId="{168861B8-2B13-4D21-A0A3-3DF5AA125F21}" type="presParOf" srcId="{6E63B848-FDAE-4891-8566-8BE88B653316}" destId="{374EA5B0-C6AD-46BF-9645-7F0ED252FE66}" srcOrd="0" destOrd="0" presId="urn:microsoft.com/office/officeart/2005/8/layout/list1"/>
    <dgm:cxn modelId="{FD713377-EE71-47D7-9EBD-4A34BD75CF63}" type="presParOf" srcId="{6E63B848-FDAE-4891-8566-8BE88B653316}" destId="{377E1CD8-0067-463D-AA47-7581C029D7D4}" srcOrd="1" destOrd="0" presId="urn:microsoft.com/office/officeart/2005/8/layout/list1"/>
    <dgm:cxn modelId="{855C1ABF-EE0E-4368-AAF2-7D3585E239A5}" type="presParOf" srcId="{7323760A-CAC8-432D-A020-F77BFA77D735}" destId="{8C78493C-3C9C-4FDF-89DE-DDAC27488222}" srcOrd="1" destOrd="0" presId="urn:microsoft.com/office/officeart/2005/8/layout/list1"/>
    <dgm:cxn modelId="{680373E2-88CE-4642-9587-481CCEFD2578}" type="presParOf" srcId="{7323760A-CAC8-432D-A020-F77BFA77D735}" destId="{1111B519-2F2F-4512-95FE-D2216303CCBE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F27429C-5B6E-468F-AF42-BE9281FF2A23}" type="doc">
      <dgm:prSet loTypeId="urn:microsoft.com/office/officeart/2005/8/layout/list1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8DFCB13-F778-41C4-88A6-8A8793BBCF6B}">
      <dgm:prSet phldrT="[Texto]" custT="1"/>
      <dgm:spPr/>
      <dgm:t>
        <a:bodyPr/>
        <a:lstStyle/>
        <a:p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gm:t>
    </dgm:pt>
    <dgm:pt modelId="{55E528F8-5473-447A-B4D6-39039A5FF545}" type="par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C21111-088F-4CAC-A53E-A2F91EF73064}" type="sib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C29C0B-230A-4A2F-B7AB-59E88CC6B709}">
      <dgm:prSet phldrT="[Texto]" custT="1"/>
      <dgm:spPr/>
      <dgm:t>
        <a:bodyPr/>
        <a:lstStyle/>
        <a:p>
          <a:pPr algn="just"/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Los "Gastos" en los estándares internacionales presentan mayores diferencias respecto a la información presentada en metodología nacional y es importante entender que estos no son comparables entre si.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En los e</a:t>
          </a:r>
          <a:r>
            <a:rPr lang="en-US" sz="1000" b="1" strike="noStrike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stándares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 internacionales, un gasto es una transacción que  disminuye el patrimonio neto del gobierno (MEFP 2014) </a:t>
          </a:r>
        </a:p>
      </dgm:t>
    </dgm:pt>
    <dgm:pt modelId="{BD00C7DA-D115-4DC8-96E9-9A8238F85148}" type="par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EB422C-F1D3-4985-A61D-252683A994E5}" type="sib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CC71809-35DE-431A-8E89-16EE3CBE8060}">
      <dgm:prSet phldrT="[Texto]" custT="1"/>
      <dgm:spPr/>
      <dgm:t>
        <a:bodyPr/>
        <a:lstStyle/>
        <a:p>
          <a:pPr algn="just"/>
          <a:endParaRPr lang="en-US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B3419CE-7C14-4ADE-BDF0-3D966782548A}" type="parTrans" cxnId="{537138B4-325E-4E94-87BB-8E2AEB889CE3}">
      <dgm:prSet/>
      <dgm:spPr/>
      <dgm:t>
        <a:bodyPr/>
        <a:lstStyle/>
        <a:p>
          <a:endParaRPr lang="es-GT"/>
        </a:p>
      </dgm:t>
    </dgm:pt>
    <dgm:pt modelId="{8B785DAD-3895-49B6-A969-58089C321C73}" type="sibTrans" cxnId="{537138B4-325E-4E94-87BB-8E2AEB889CE3}">
      <dgm:prSet/>
      <dgm:spPr/>
      <dgm:t>
        <a:bodyPr/>
        <a:lstStyle/>
        <a:p>
          <a:endParaRPr lang="es-GT"/>
        </a:p>
      </dgm:t>
    </dgm:pt>
    <dgm:pt modelId="{7323760A-CAC8-432D-A020-F77BFA77D735}" type="pres">
      <dgm:prSet presAssocID="{FF27429C-5B6E-468F-AF42-BE9281FF2A23}" presName="linear" presStyleCnt="0">
        <dgm:presLayoutVars>
          <dgm:dir/>
          <dgm:animLvl val="lvl"/>
          <dgm:resizeHandles val="exact"/>
        </dgm:presLayoutVars>
      </dgm:prSet>
      <dgm:spPr/>
    </dgm:pt>
    <dgm:pt modelId="{6E63B848-FDAE-4891-8566-8BE88B653316}" type="pres">
      <dgm:prSet presAssocID="{68DFCB13-F778-41C4-88A6-8A8793BBCF6B}" presName="parentLin" presStyleCnt="0"/>
      <dgm:spPr/>
    </dgm:pt>
    <dgm:pt modelId="{374EA5B0-C6AD-46BF-9645-7F0ED252FE66}" type="pres">
      <dgm:prSet presAssocID="{68DFCB13-F778-41C4-88A6-8A8793BBCF6B}" presName="parentLeftMargin" presStyleLbl="node1" presStyleIdx="0" presStyleCnt="1"/>
      <dgm:spPr/>
    </dgm:pt>
    <dgm:pt modelId="{377E1CD8-0067-463D-AA47-7581C029D7D4}" type="pres">
      <dgm:prSet presAssocID="{68DFCB13-F778-41C4-88A6-8A8793BBCF6B}" presName="parentText" presStyleLbl="node1" presStyleIdx="0" presStyleCnt="1" custScaleX="33793">
        <dgm:presLayoutVars>
          <dgm:chMax val="0"/>
          <dgm:bulletEnabled val="1"/>
        </dgm:presLayoutVars>
      </dgm:prSet>
      <dgm:spPr/>
    </dgm:pt>
    <dgm:pt modelId="{8C78493C-3C9C-4FDF-89DE-DDAC27488222}" type="pres">
      <dgm:prSet presAssocID="{68DFCB13-F778-41C4-88A6-8A8793BBCF6B}" presName="negativeSpace" presStyleCnt="0"/>
      <dgm:spPr/>
    </dgm:pt>
    <dgm:pt modelId="{1111B519-2F2F-4512-95FE-D2216303CCBE}" type="pres">
      <dgm:prSet presAssocID="{68DFCB13-F778-41C4-88A6-8A8793BBCF6B}" presName="childText" presStyleLbl="conFgAcc1" presStyleIdx="0" presStyleCnt="1" custLinFactY="-1552" custLinFactNeighborX="-34956" custLinFactNeighborY="-100000">
        <dgm:presLayoutVars>
          <dgm:bulletEnabled val="1"/>
        </dgm:presLayoutVars>
      </dgm:prSet>
      <dgm:spPr/>
    </dgm:pt>
  </dgm:ptLst>
  <dgm:cxnLst>
    <dgm:cxn modelId="{2B97E307-DDDC-45DC-9CA7-632648FED3B9}" type="presOf" srcId="{01C29C0B-230A-4A2F-B7AB-59E88CC6B709}" destId="{1111B519-2F2F-4512-95FE-D2216303CCBE}" srcOrd="0" destOrd="1" presId="urn:microsoft.com/office/officeart/2005/8/layout/list1"/>
    <dgm:cxn modelId="{E9E7F310-CA62-40CB-950B-C2B09700E887}" type="presOf" srcId="{FF27429C-5B6E-468F-AF42-BE9281FF2A23}" destId="{7323760A-CAC8-432D-A020-F77BFA77D735}" srcOrd="0" destOrd="0" presId="urn:microsoft.com/office/officeart/2005/8/layout/list1"/>
    <dgm:cxn modelId="{9E117C35-F0A3-4260-AE5F-3261DFB7C6EE}" srcId="{FF27429C-5B6E-468F-AF42-BE9281FF2A23}" destId="{68DFCB13-F778-41C4-88A6-8A8793BBCF6B}" srcOrd="0" destOrd="0" parTransId="{55E528F8-5473-447A-B4D6-39039A5FF545}" sibTransId="{18C21111-088F-4CAC-A53E-A2F91EF73064}"/>
    <dgm:cxn modelId="{CF9E1A65-553C-4315-9B4D-6922C5CF2185}" type="presOf" srcId="{68DFCB13-F778-41C4-88A6-8A8793BBCF6B}" destId="{377E1CD8-0067-463D-AA47-7581C029D7D4}" srcOrd="1" destOrd="0" presId="urn:microsoft.com/office/officeart/2005/8/layout/list1"/>
    <dgm:cxn modelId="{047B5950-955A-4E9C-890F-03A957F573F6}" srcId="{68DFCB13-F778-41C4-88A6-8A8793BBCF6B}" destId="{01C29C0B-230A-4A2F-B7AB-59E88CC6B709}" srcOrd="1" destOrd="0" parTransId="{BD00C7DA-D115-4DC8-96E9-9A8238F85148}" sibTransId="{65EB422C-F1D3-4985-A61D-252683A994E5}"/>
    <dgm:cxn modelId="{4D524D71-7747-4CA7-959A-0C1A1AB0D512}" type="presOf" srcId="{2CC71809-35DE-431A-8E89-16EE3CBE8060}" destId="{1111B519-2F2F-4512-95FE-D2216303CCBE}" srcOrd="0" destOrd="0" presId="urn:microsoft.com/office/officeart/2005/8/layout/list1"/>
    <dgm:cxn modelId="{3FDC437B-7FEB-4570-9F57-FAA88171B111}" type="presOf" srcId="{68DFCB13-F778-41C4-88A6-8A8793BBCF6B}" destId="{374EA5B0-C6AD-46BF-9645-7F0ED252FE66}" srcOrd="0" destOrd="0" presId="urn:microsoft.com/office/officeart/2005/8/layout/list1"/>
    <dgm:cxn modelId="{537138B4-325E-4E94-87BB-8E2AEB889CE3}" srcId="{68DFCB13-F778-41C4-88A6-8A8793BBCF6B}" destId="{2CC71809-35DE-431A-8E89-16EE3CBE8060}" srcOrd="0" destOrd="0" parTransId="{FB3419CE-7C14-4ADE-BDF0-3D966782548A}" sibTransId="{8B785DAD-3895-49B6-A969-58089C321C73}"/>
    <dgm:cxn modelId="{4BC55A49-751C-408F-B176-B7C4C361EF7E}" type="presParOf" srcId="{7323760A-CAC8-432D-A020-F77BFA77D735}" destId="{6E63B848-FDAE-4891-8566-8BE88B653316}" srcOrd="0" destOrd="0" presId="urn:microsoft.com/office/officeart/2005/8/layout/list1"/>
    <dgm:cxn modelId="{168861B8-2B13-4D21-A0A3-3DF5AA125F21}" type="presParOf" srcId="{6E63B848-FDAE-4891-8566-8BE88B653316}" destId="{374EA5B0-C6AD-46BF-9645-7F0ED252FE66}" srcOrd="0" destOrd="0" presId="urn:microsoft.com/office/officeart/2005/8/layout/list1"/>
    <dgm:cxn modelId="{FD713377-EE71-47D7-9EBD-4A34BD75CF63}" type="presParOf" srcId="{6E63B848-FDAE-4891-8566-8BE88B653316}" destId="{377E1CD8-0067-463D-AA47-7581C029D7D4}" srcOrd="1" destOrd="0" presId="urn:microsoft.com/office/officeart/2005/8/layout/list1"/>
    <dgm:cxn modelId="{855C1ABF-EE0E-4368-AAF2-7D3585E239A5}" type="presParOf" srcId="{7323760A-CAC8-432D-A020-F77BFA77D735}" destId="{8C78493C-3C9C-4FDF-89DE-DDAC27488222}" srcOrd="1" destOrd="0" presId="urn:microsoft.com/office/officeart/2005/8/layout/list1"/>
    <dgm:cxn modelId="{680373E2-88CE-4642-9587-481CCEFD2578}" type="presParOf" srcId="{7323760A-CAC8-432D-A020-F77BFA77D735}" destId="{1111B519-2F2F-4512-95FE-D2216303CCBE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F27429C-5B6E-468F-AF42-BE9281FF2A23}" type="doc">
      <dgm:prSet loTypeId="urn:microsoft.com/office/officeart/2005/8/layout/list1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8DFCB13-F778-41C4-88A6-8A8793BBCF6B}">
      <dgm:prSet phldrT="[Texto]" custT="1"/>
      <dgm:spPr/>
      <dgm:t>
        <a:bodyPr/>
        <a:lstStyle/>
        <a:p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gm:t>
    </dgm:pt>
    <dgm:pt modelId="{55E528F8-5473-447A-B4D6-39039A5FF545}" type="par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C21111-088F-4CAC-A53E-A2F91EF73064}" type="sib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C29C0B-230A-4A2F-B7AB-59E88CC6B709}">
      <dgm:prSet phldrT="[Texto]" custT="1"/>
      <dgm:spPr/>
      <dgm:t>
        <a:bodyPr/>
        <a:lstStyle/>
        <a:p>
          <a:pPr algn="just"/>
          <a:r>
            <a:rPr lang="en-US" sz="1000" b="0">
              <a:latin typeface="Times New Roman" panose="02020603050405020304" pitchFamily="18" charset="0"/>
              <a:cs typeface="Times New Roman" panose="02020603050405020304" pitchFamily="18" charset="0"/>
            </a:rPr>
            <a:t>Una transacción es un flujo económico que consiste en una interacción entre unidades institucionales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por mutuo acuerdo o mediante la aplicación de la ley.... (MEFP 2014)</a:t>
          </a:r>
          <a:r>
            <a:rPr lang="en-US" sz="1000" b="0">
              <a:latin typeface="Times New Roman" panose="02020603050405020304" pitchFamily="18" charset="0"/>
              <a:cs typeface="Times New Roman" panose="02020603050405020304" pitchFamily="18" charset="0"/>
            </a:rPr>
            <a:t>.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Las transacciones en activos y pasivos no generan cambios en el patrimonio neto.</a:t>
          </a:r>
        </a:p>
      </dgm:t>
    </dgm:pt>
    <dgm:pt modelId="{BD00C7DA-D115-4DC8-96E9-9A8238F85148}" type="par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EB422C-F1D3-4985-A61D-252683A994E5}" type="sib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323760A-CAC8-432D-A020-F77BFA77D735}" type="pres">
      <dgm:prSet presAssocID="{FF27429C-5B6E-468F-AF42-BE9281FF2A23}" presName="linear" presStyleCnt="0">
        <dgm:presLayoutVars>
          <dgm:dir/>
          <dgm:animLvl val="lvl"/>
          <dgm:resizeHandles val="exact"/>
        </dgm:presLayoutVars>
      </dgm:prSet>
      <dgm:spPr/>
    </dgm:pt>
    <dgm:pt modelId="{6E63B848-FDAE-4891-8566-8BE88B653316}" type="pres">
      <dgm:prSet presAssocID="{68DFCB13-F778-41C4-88A6-8A8793BBCF6B}" presName="parentLin" presStyleCnt="0"/>
      <dgm:spPr/>
    </dgm:pt>
    <dgm:pt modelId="{374EA5B0-C6AD-46BF-9645-7F0ED252FE66}" type="pres">
      <dgm:prSet presAssocID="{68DFCB13-F778-41C4-88A6-8A8793BBCF6B}" presName="parentLeftMargin" presStyleLbl="node1" presStyleIdx="0" presStyleCnt="1"/>
      <dgm:spPr/>
    </dgm:pt>
    <dgm:pt modelId="{377E1CD8-0067-463D-AA47-7581C029D7D4}" type="pres">
      <dgm:prSet presAssocID="{68DFCB13-F778-41C4-88A6-8A8793BBCF6B}" presName="parentText" presStyleLbl="node1" presStyleIdx="0" presStyleCnt="1" custScaleX="33793">
        <dgm:presLayoutVars>
          <dgm:chMax val="0"/>
          <dgm:bulletEnabled val="1"/>
        </dgm:presLayoutVars>
      </dgm:prSet>
      <dgm:spPr/>
    </dgm:pt>
    <dgm:pt modelId="{8C78493C-3C9C-4FDF-89DE-DDAC27488222}" type="pres">
      <dgm:prSet presAssocID="{68DFCB13-F778-41C4-88A6-8A8793BBCF6B}" presName="negativeSpace" presStyleCnt="0"/>
      <dgm:spPr/>
    </dgm:pt>
    <dgm:pt modelId="{1111B519-2F2F-4512-95FE-D2216303CCBE}" type="pres">
      <dgm:prSet presAssocID="{68DFCB13-F778-41C4-88A6-8A8793BBCF6B}" presName="childText" presStyleLbl="conFgAcc1" presStyleIdx="0" presStyleCnt="1">
        <dgm:presLayoutVars>
          <dgm:bulletEnabled val="1"/>
        </dgm:presLayoutVars>
      </dgm:prSet>
      <dgm:spPr/>
    </dgm:pt>
  </dgm:ptLst>
  <dgm:cxnLst>
    <dgm:cxn modelId="{2B97E307-DDDC-45DC-9CA7-632648FED3B9}" type="presOf" srcId="{01C29C0B-230A-4A2F-B7AB-59E88CC6B709}" destId="{1111B519-2F2F-4512-95FE-D2216303CCBE}" srcOrd="0" destOrd="0" presId="urn:microsoft.com/office/officeart/2005/8/layout/list1"/>
    <dgm:cxn modelId="{E9E7F310-CA62-40CB-950B-C2B09700E887}" type="presOf" srcId="{FF27429C-5B6E-468F-AF42-BE9281FF2A23}" destId="{7323760A-CAC8-432D-A020-F77BFA77D735}" srcOrd="0" destOrd="0" presId="urn:microsoft.com/office/officeart/2005/8/layout/list1"/>
    <dgm:cxn modelId="{9E117C35-F0A3-4260-AE5F-3261DFB7C6EE}" srcId="{FF27429C-5B6E-468F-AF42-BE9281FF2A23}" destId="{68DFCB13-F778-41C4-88A6-8A8793BBCF6B}" srcOrd="0" destOrd="0" parTransId="{55E528F8-5473-447A-B4D6-39039A5FF545}" sibTransId="{18C21111-088F-4CAC-A53E-A2F91EF73064}"/>
    <dgm:cxn modelId="{CF9E1A65-553C-4315-9B4D-6922C5CF2185}" type="presOf" srcId="{68DFCB13-F778-41C4-88A6-8A8793BBCF6B}" destId="{377E1CD8-0067-463D-AA47-7581C029D7D4}" srcOrd="1" destOrd="0" presId="urn:microsoft.com/office/officeart/2005/8/layout/list1"/>
    <dgm:cxn modelId="{047B5950-955A-4E9C-890F-03A957F573F6}" srcId="{68DFCB13-F778-41C4-88A6-8A8793BBCF6B}" destId="{01C29C0B-230A-4A2F-B7AB-59E88CC6B709}" srcOrd="0" destOrd="0" parTransId="{BD00C7DA-D115-4DC8-96E9-9A8238F85148}" sibTransId="{65EB422C-F1D3-4985-A61D-252683A994E5}"/>
    <dgm:cxn modelId="{3FDC437B-7FEB-4570-9F57-FAA88171B111}" type="presOf" srcId="{68DFCB13-F778-41C4-88A6-8A8793BBCF6B}" destId="{374EA5B0-C6AD-46BF-9645-7F0ED252FE66}" srcOrd="0" destOrd="0" presId="urn:microsoft.com/office/officeart/2005/8/layout/list1"/>
    <dgm:cxn modelId="{4BC55A49-751C-408F-B176-B7C4C361EF7E}" type="presParOf" srcId="{7323760A-CAC8-432D-A020-F77BFA77D735}" destId="{6E63B848-FDAE-4891-8566-8BE88B653316}" srcOrd="0" destOrd="0" presId="urn:microsoft.com/office/officeart/2005/8/layout/list1"/>
    <dgm:cxn modelId="{168861B8-2B13-4D21-A0A3-3DF5AA125F21}" type="presParOf" srcId="{6E63B848-FDAE-4891-8566-8BE88B653316}" destId="{374EA5B0-C6AD-46BF-9645-7F0ED252FE66}" srcOrd="0" destOrd="0" presId="urn:microsoft.com/office/officeart/2005/8/layout/list1"/>
    <dgm:cxn modelId="{FD713377-EE71-47D7-9EBD-4A34BD75CF63}" type="presParOf" srcId="{6E63B848-FDAE-4891-8566-8BE88B653316}" destId="{377E1CD8-0067-463D-AA47-7581C029D7D4}" srcOrd="1" destOrd="0" presId="urn:microsoft.com/office/officeart/2005/8/layout/list1"/>
    <dgm:cxn modelId="{855C1ABF-EE0E-4368-AAF2-7D3585E239A5}" type="presParOf" srcId="{7323760A-CAC8-432D-A020-F77BFA77D735}" destId="{8C78493C-3C9C-4FDF-89DE-DDAC27488222}" srcOrd="1" destOrd="0" presId="urn:microsoft.com/office/officeart/2005/8/layout/list1"/>
    <dgm:cxn modelId="{680373E2-88CE-4642-9587-481CCEFD2578}" type="presParOf" srcId="{7323760A-CAC8-432D-A020-F77BFA77D735}" destId="{1111B519-2F2F-4512-95FE-D2216303CCBE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F27429C-5B6E-468F-AF42-BE9281FF2A23}" type="doc">
      <dgm:prSet loTypeId="urn:microsoft.com/office/officeart/2005/8/layout/list1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8DFCB13-F778-41C4-88A6-8A8793BBCF6B}">
      <dgm:prSet phldrT="[Texto]" custT="1"/>
      <dgm:spPr/>
      <dgm:t>
        <a:bodyPr/>
        <a:lstStyle/>
        <a:p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gm:t>
    </dgm:pt>
    <dgm:pt modelId="{55E528F8-5473-447A-B4D6-39039A5FF545}" type="par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C21111-088F-4CAC-A53E-A2F91EF73064}" type="sib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C29C0B-230A-4A2F-B7AB-59E88CC6B709}">
      <dgm:prSet phldrT="[Texto]" custT="1"/>
      <dgm:spPr/>
      <dgm:t>
        <a:bodyPr/>
        <a:lstStyle/>
        <a:p>
          <a:pPr algn="just"/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Las "Erogaciones" poseen cierta similitud conceptual a lo que en la metodología nacional se entiende por gasto, sin embargo, poseen algunas diferencias leves.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En </a:t>
          </a:r>
          <a:r>
            <a:rPr lang="en-US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los </a:t>
          </a:r>
          <a:r>
            <a:rPr lang="en-US" sz="1000" b="1" strike="noStrike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</a:t>
          </a:r>
          <a:r>
            <a:rPr lang="en-US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internacionales, una erogación es la suma de los gastos y la inversión neta en activos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no financieros (MEFP 2014) </a:t>
          </a:r>
        </a:p>
      </dgm:t>
    </dgm:pt>
    <dgm:pt modelId="{BD00C7DA-D115-4DC8-96E9-9A8238F85148}" type="par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EB422C-F1D3-4985-A61D-252683A994E5}" type="sib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323760A-CAC8-432D-A020-F77BFA77D735}" type="pres">
      <dgm:prSet presAssocID="{FF27429C-5B6E-468F-AF42-BE9281FF2A23}" presName="linear" presStyleCnt="0">
        <dgm:presLayoutVars>
          <dgm:dir/>
          <dgm:animLvl val="lvl"/>
          <dgm:resizeHandles val="exact"/>
        </dgm:presLayoutVars>
      </dgm:prSet>
      <dgm:spPr/>
    </dgm:pt>
    <dgm:pt modelId="{6E63B848-FDAE-4891-8566-8BE88B653316}" type="pres">
      <dgm:prSet presAssocID="{68DFCB13-F778-41C4-88A6-8A8793BBCF6B}" presName="parentLin" presStyleCnt="0"/>
      <dgm:spPr/>
    </dgm:pt>
    <dgm:pt modelId="{374EA5B0-C6AD-46BF-9645-7F0ED252FE66}" type="pres">
      <dgm:prSet presAssocID="{68DFCB13-F778-41C4-88A6-8A8793BBCF6B}" presName="parentLeftMargin" presStyleLbl="node1" presStyleIdx="0" presStyleCnt="1"/>
      <dgm:spPr/>
    </dgm:pt>
    <dgm:pt modelId="{377E1CD8-0067-463D-AA47-7581C029D7D4}" type="pres">
      <dgm:prSet presAssocID="{68DFCB13-F778-41C4-88A6-8A8793BBCF6B}" presName="parentText" presStyleLbl="node1" presStyleIdx="0" presStyleCnt="1" custScaleX="33793">
        <dgm:presLayoutVars>
          <dgm:chMax val="0"/>
          <dgm:bulletEnabled val="1"/>
        </dgm:presLayoutVars>
      </dgm:prSet>
      <dgm:spPr/>
    </dgm:pt>
    <dgm:pt modelId="{8C78493C-3C9C-4FDF-89DE-DDAC27488222}" type="pres">
      <dgm:prSet presAssocID="{68DFCB13-F778-41C4-88A6-8A8793BBCF6B}" presName="negativeSpace" presStyleCnt="0"/>
      <dgm:spPr/>
    </dgm:pt>
    <dgm:pt modelId="{1111B519-2F2F-4512-95FE-D2216303CCBE}" type="pres">
      <dgm:prSet presAssocID="{68DFCB13-F778-41C4-88A6-8A8793BBCF6B}" presName="childText" presStyleLbl="conFgAcc1" presStyleIdx="0" presStyleCnt="1">
        <dgm:presLayoutVars>
          <dgm:bulletEnabled val="1"/>
        </dgm:presLayoutVars>
      </dgm:prSet>
      <dgm:spPr/>
    </dgm:pt>
  </dgm:ptLst>
  <dgm:cxnLst>
    <dgm:cxn modelId="{2B97E307-DDDC-45DC-9CA7-632648FED3B9}" type="presOf" srcId="{01C29C0B-230A-4A2F-B7AB-59E88CC6B709}" destId="{1111B519-2F2F-4512-95FE-D2216303CCBE}" srcOrd="0" destOrd="0" presId="urn:microsoft.com/office/officeart/2005/8/layout/list1"/>
    <dgm:cxn modelId="{E9E7F310-CA62-40CB-950B-C2B09700E887}" type="presOf" srcId="{FF27429C-5B6E-468F-AF42-BE9281FF2A23}" destId="{7323760A-CAC8-432D-A020-F77BFA77D735}" srcOrd="0" destOrd="0" presId="urn:microsoft.com/office/officeart/2005/8/layout/list1"/>
    <dgm:cxn modelId="{9E117C35-F0A3-4260-AE5F-3261DFB7C6EE}" srcId="{FF27429C-5B6E-468F-AF42-BE9281FF2A23}" destId="{68DFCB13-F778-41C4-88A6-8A8793BBCF6B}" srcOrd="0" destOrd="0" parTransId="{55E528F8-5473-447A-B4D6-39039A5FF545}" sibTransId="{18C21111-088F-4CAC-A53E-A2F91EF73064}"/>
    <dgm:cxn modelId="{CF9E1A65-553C-4315-9B4D-6922C5CF2185}" type="presOf" srcId="{68DFCB13-F778-41C4-88A6-8A8793BBCF6B}" destId="{377E1CD8-0067-463D-AA47-7581C029D7D4}" srcOrd="1" destOrd="0" presId="urn:microsoft.com/office/officeart/2005/8/layout/list1"/>
    <dgm:cxn modelId="{047B5950-955A-4E9C-890F-03A957F573F6}" srcId="{68DFCB13-F778-41C4-88A6-8A8793BBCF6B}" destId="{01C29C0B-230A-4A2F-B7AB-59E88CC6B709}" srcOrd="0" destOrd="0" parTransId="{BD00C7DA-D115-4DC8-96E9-9A8238F85148}" sibTransId="{65EB422C-F1D3-4985-A61D-252683A994E5}"/>
    <dgm:cxn modelId="{3FDC437B-7FEB-4570-9F57-FAA88171B111}" type="presOf" srcId="{68DFCB13-F778-41C4-88A6-8A8793BBCF6B}" destId="{374EA5B0-C6AD-46BF-9645-7F0ED252FE66}" srcOrd="0" destOrd="0" presId="urn:microsoft.com/office/officeart/2005/8/layout/list1"/>
    <dgm:cxn modelId="{4BC55A49-751C-408F-B176-B7C4C361EF7E}" type="presParOf" srcId="{7323760A-CAC8-432D-A020-F77BFA77D735}" destId="{6E63B848-FDAE-4891-8566-8BE88B653316}" srcOrd="0" destOrd="0" presId="urn:microsoft.com/office/officeart/2005/8/layout/list1"/>
    <dgm:cxn modelId="{168861B8-2B13-4D21-A0A3-3DF5AA125F21}" type="presParOf" srcId="{6E63B848-FDAE-4891-8566-8BE88B653316}" destId="{374EA5B0-C6AD-46BF-9645-7F0ED252FE66}" srcOrd="0" destOrd="0" presId="urn:microsoft.com/office/officeart/2005/8/layout/list1"/>
    <dgm:cxn modelId="{FD713377-EE71-47D7-9EBD-4A34BD75CF63}" type="presParOf" srcId="{6E63B848-FDAE-4891-8566-8BE88B653316}" destId="{377E1CD8-0067-463D-AA47-7581C029D7D4}" srcOrd="1" destOrd="0" presId="urn:microsoft.com/office/officeart/2005/8/layout/list1"/>
    <dgm:cxn modelId="{855C1ABF-EE0E-4368-AAF2-7D3585E239A5}" type="presParOf" srcId="{7323760A-CAC8-432D-A020-F77BFA77D735}" destId="{8C78493C-3C9C-4FDF-89DE-DDAC27488222}" srcOrd="1" destOrd="0" presId="urn:microsoft.com/office/officeart/2005/8/layout/list1"/>
    <dgm:cxn modelId="{680373E2-88CE-4642-9587-481CCEFD2578}" type="presParOf" srcId="{7323760A-CAC8-432D-A020-F77BFA77D735}" destId="{1111B519-2F2F-4512-95FE-D2216303CCBE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F27429C-5B6E-468F-AF42-BE9281FF2A23}" type="doc">
      <dgm:prSet loTypeId="urn:microsoft.com/office/officeart/2005/8/layout/list1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8DFCB13-F778-41C4-88A6-8A8793BBCF6B}">
      <dgm:prSet phldrT="[Texto]" custT="1"/>
      <dgm:spPr/>
      <dgm:t>
        <a:bodyPr/>
        <a:lstStyle/>
        <a:p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gm:t>
    </dgm:pt>
    <dgm:pt modelId="{55E528F8-5473-447A-B4D6-39039A5FF545}" type="par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C21111-088F-4CAC-A53E-A2F91EF73064}" type="sibTrans" cxnId="{9E117C35-F0A3-4260-AE5F-3261DFB7C6EE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C29C0B-230A-4A2F-B7AB-59E88CC6B709}">
      <dgm:prSet phldrT="[Texto]" custT="1"/>
      <dgm:spPr/>
      <dgm:t>
        <a:bodyPr/>
        <a:lstStyle/>
        <a:p>
          <a:pPr algn="just"/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Existe una diferencia importante entre el concepto de resultado fiscal con metodología nacional y los </a:t>
          </a:r>
          <a:r>
            <a:rPr lang="en-US" sz="10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 internacionales, lo cual </a:t>
          </a:r>
          <a:r>
            <a:rPr lang="en-US" sz="1000">
              <a:latin typeface="Times New Roman" panose="02020603050405020304" pitchFamily="18" charset="0"/>
              <a:cs typeface="Times New Roman" panose="02020603050405020304" pitchFamily="18" charset="0"/>
            </a:rPr>
            <a:t>hace que estos no sean perfectamente comparables.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En los </a:t>
          </a:r>
          <a:r>
            <a:rPr lang="en-US" sz="1000" b="1" strike="noStrike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 internacionales existen los siguientes indicadores fiscales:</a:t>
          </a:r>
        </a:p>
      </dgm:t>
    </dgm:pt>
    <dgm:pt modelId="{BD00C7DA-D115-4DC8-96E9-9A8238F85148}" type="par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EB422C-F1D3-4985-A61D-252683A994E5}" type="sibTrans" cxnId="{047B5950-955A-4E9C-890F-03A957F573F6}">
      <dgm:prSet/>
      <dgm:spPr/>
      <dgm:t>
        <a:bodyPr/>
        <a:lstStyle/>
        <a:p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3D409E7-6B38-4B8B-8222-44C703F58D92}">
      <dgm:prSet phldrT="[Texto]" custT="1"/>
      <dgm:spPr/>
      <dgm:t>
        <a:bodyPr/>
        <a:lstStyle/>
        <a:p>
          <a:pPr algn="just"/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 1.) Resultado Operativo Neto (NOB) = </a:t>
          </a:r>
          <a:r>
            <a:rPr lang="en-US" sz="1000" b="0">
              <a:latin typeface="Times New Roman" panose="02020603050405020304" pitchFamily="18" charset="0"/>
              <a:cs typeface="Times New Roman" panose="02020603050405020304" pitchFamily="18" charset="0"/>
            </a:rPr>
            <a:t>Ingresos - Gastos</a:t>
          </a:r>
        </a:p>
      </dgm:t>
    </dgm:pt>
    <dgm:pt modelId="{35E9F9E2-37BD-42CA-AB3F-4201DA8C5649}" type="parTrans" cxnId="{D2A05A42-79FB-4963-8B17-BF9A6786808F}">
      <dgm:prSet/>
      <dgm:spPr/>
      <dgm:t>
        <a:bodyPr/>
        <a:lstStyle/>
        <a:p>
          <a:endParaRPr lang="en-US"/>
        </a:p>
      </dgm:t>
    </dgm:pt>
    <dgm:pt modelId="{AC2A3F50-B651-4C05-9C8B-A8F890A72D73}" type="sibTrans" cxnId="{D2A05A42-79FB-4963-8B17-BF9A6786808F}">
      <dgm:prSet/>
      <dgm:spPr/>
      <dgm:t>
        <a:bodyPr/>
        <a:lstStyle/>
        <a:p>
          <a:endParaRPr lang="en-US"/>
        </a:p>
      </dgm:t>
    </dgm:pt>
    <dgm:pt modelId="{3CF91B55-1F75-4C87-9C67-A20C9FA05662}">
      <dgm:prSet phldrT="[Texto]" custT="1"/>
      <dgm:spPr/>
      <dgm:t>
        <a:bodyPr/>
        <a:lstStyle/>
        <a:p>
          <a:pPr algn="just"/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 2.) Resultado Operativo Bruto (GOB) = </a:t>
          </a:r>
          <a:r>
            <a:rPr lang="en-US" sz="1000" b="0">
              <a:latin typeface="Times New Roman" panose="02020603050405020304" pitchFamily="18" charset="0"/>
              <a:cs typeface="Times New Roman" panose="02020603050405020304" pitchFamily="18" charset="0"/>
            </a:rPr>
            <a:t>Ingresos - Gastos + Consumo de capital fijo</a:t>
          </a:r>
        </a:p>
      </dgm:t>
    </dgm:pt>
    <dgm:pt modelId="{D8385961-8EAF-45B4-BEDD-9F02F740FFF8}" type="parTrans" cxnId="{3B646E4E-A757-43B0-9D09-BAE2E05E5ACA}">
      <dgm:prSet/>
      <dgm:spPr/>
      <dgm:t>
        <a:bodyPr/>
        <a:lstStyle/>
        <a:p>
          <a:endParaRPr lang="en-US"/>
        </a:p>
      </dgm:t>
    </dgm:pt>
    <dgm:pt modelId="{3B565E79-6F22-4474-B8A9-856B312682A2}" type="sibTrans" cxnId="{3B646E4E-A757-43B0-9D09-BAE2E05E5ACA}">
      <dgm:prSet/>
      <dgm:spPr/>
      <dgm:t>
        <a:bodyPr/>
        <a:lstStyle/>
        <a:p>
          <a:endParaRPr lang="en-US"/>
        </a:p>
      </dgm:t>
    </dgm:pt>
    <dgm:pt modelId="{DDD57492-28E1-4534-8544-AE4C4F54393E}">
      <dgm:prSet phldrT="[Texto]" custT="1"/>
      <dgm:spPr/>
      <dgm:t>
        <a:bodyPr/>
        <a:lstStyle/>
        <a:p>
          <a:pPr algn="just"/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 3.) P</a:t>
          </a:r>
          <a:r>
            <a:rPr lang="en-US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réstamo </a:t>
          </a:r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o Endeudamiento Neto (NLB) = </a:t>
          </a:r>
          <a:r>
            <a:rPr lang="en-US" sz="1000" b="0">
              <a:latin typeface="Times New Roman" panose="02020603050405020304" pitchFamily="18" charset="0"/>
              <a:cs typeface="Times New Roman" panose="02020603050405020304" pitchFamily="18" charset="0"/>
            </a:rPr>
            <a:t>NOB - Inversión Neta en Activos no financieros</a:t>
          </a:r>
        </a:p>
      </dgm:t>
    </dgm:pt>
    <dgm:pt modelId="{F4E1C6EE-CD86-4051-8C91-50C764FC2B3C}" type="parTrans" cxnId="{804E552C-050E-4FE3-9A89-FA56FE6F04DB}">
      <dgm:prSet/>
      <dgm:spPr/>
      <dgm:t>
        <a:bodyPr/>
        <a:lstStyle/>
        <a:p>
          <a:endParaRPr lang="en-US"/>
        </a:p>
      </dgm:t>
    </dgm:pt>
    <dgm:pt modelId="{810108D9-3C67-4E9B-A016-62224098F996}" type="sibTrans" cxnId="{804E552C-050E-4FE3-9A89-FA56FE6F04DB}">
      <dgm:prSet/>
      <dgm:spPr/>
      <dgm:t>
        <a:bodyPr/>
        <a:lstStyle/>
        <a:p>
          <a:endParaRPr lang="en-US"/>
        </a:p>
      </dgm:t>
    </dgm:pt>
    <dgm:pt modelId="{B3BD5EE0-8B02-47DD-9A82-259B22A65496}">
      <dgm:prSet phldrT="[Texto]" custT="1"/>
      <dgm:spPr/>
      <dgm:t>
        <a:bodyPr/>
        <a:lstStyle/>
        <a:p>
          <a:pPr algn="l"/>
          <a:endParaRPr lang="en-US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714091-2FD7-45AB-996F-8D909E729D08}" type="parTrans" cxnId="{46B5D4E3-A1B8-446E-BF94-1D1B608BD025}">
      <dgm:prSet/>
      <dgm:spPr/>
      <dgm:t>
        <a:bodyPr/>
        <a:lstStyle/>
        <a:p>
          <a:endParaRPr lang="en-US"/>
        </a:p>
      </dgm:t>
    </dgm:pt>
    <dgm:pt modelId="{0927F4C2-33AC-47BA-87B1-9849DE2EA647}" type="sibTrans" cxnId="{46B5D4E3-A1B8-446E-BF94-1D1B608BD025}">
      <dgm:prSet/>
      <dgm:spPr/>
      <dgm:t>
        <a:bodyPr/>
        <a:lstStyle/>
        <a:p>
          <a:endParaRPr lang="en-US"/>
        </a:p>
      </dgm:t>
    </dgm:pt>
    <dgm:pt modelId="{8A074394-24C9-4417-B175-5B020C5132EE}">
      <dgm:prSet phldrT="[Texto]" custT="1"/>
      <dgm:spPr/>
      <dgm:t>
        <a:bodyPr/>
        <a:lstStyle/>
        <a:p>
          <a:pPr algn="l"/>
          <a:endParaRPr lang="en-US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CE292B1-DDE6-4D66-AF9B-D8F09CB2C44B}" type="parTrans" cxnId="{DAA46AD6-6800-4619-A2CB-499FD1424CD7}">
      <dgm:prSet/>
      <dgm:spPr/>
      <dgm:t>
        <a:bodyPr/>
        <a:lstStyle/>
        <a:p>
          <a:endParaRPr lang="en-US"/>
        </a:p>
      </dgm:t>
    </dgm:pt>
    <dgm:pt modelId="{BB78CF32-946E-44D8-A2CB-37AAD43DE337}" type="sibTrans" cxnId="{DAA46AD6-6800-4619-A2CB-499FD1424CD7}">
      <dgm:prSet/>
      <dgm:spPr/>
      <dgm:t>
        <a:bodyPr/>
        <a:lstStyle/>
        <a:p>
          <a:endParaRPr lang="en-US"/>
        </a:p>
      </dgm:t>
    </dgm:pt>
    <dgm:pt modelId="{6F8CBEB5-BD00-46A8-8598-53DD15BC0D05}">
      <dgm:prSet phldrT="[Texto]" custT="1"/>
      <dgm:spPr/>
      <dgm:t>
        <a:bodyPr/>
        <a:lstStyle/>
        <a:p>
          <a:pPr algn="just"/>
          <a:r>
            <a:rPr lang="en-US" sz="1000" b="1">
              <a:latin typeface="Times New Roman" panose="02020603050405020304" pitchFamily="18" charset="0"/>
              <a:cs typeface="Times New Roman" panose="02020603050405020304" pitchFamily="18" charset="0"/>
            </a:rPr>
            <a:t>El NOB equivale a las variaciones en el patrimonio neto derivado a transacciones mientras que el NLB también equivale al financiamiento total (MEFP 2014)</a:t>
          </a:r>
        </a:p>
      </dgm:t>
    </dgm:pt>
    <dgm:pt modelId="{A6EB8F4D-3D4D-468C-8830-DEA557649AF4}" type="parTrans" cxnId="{62A354C5-3414-40BA-AD2A-45FD81C86CE9}">
      <dgm:prSet/>
      <dgm:spPr/>
      <dgm:t>
        <a:bodyPr/>
        <a:lstStyle/>
        <a:p>
          <a:endParaRPr lang="en-US"/>
        </a:p>
      </dgm:t>
    </dgm:pt>
    <dgm:pt modelId="{0628C494-8642-43D7-B0AB-7759DCBF2D72}" type="sibTrans" cxnId="{62A354C5-3414-40BA-AD2A-45FD81C86CE9}">
      <dgm:prSet/>
      <dgm:spPr/>
      <dgm:t>
        <a:bodyPr/>
        <a:lstStyle/>
        <a:p>
          <a:endParaRPr lang="en-US"/>
        </a:p>
      </dgm:t>
    </dgm:pt>
    <dgm:pt modelId="{F66DA131-6178-426C-B996-591DEB09B7CB}">
      <dgm:prSet phldrT="[Texto]" custT="1"/>
      <dgm:spPr/>
      <dgm:t>
        <a:bodyPr/>
        <a:lstStyle/>
        <a:p>
          <a:pPr algn="just"/>
          <a:endParaRPr lang="en-US" sz="10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F9C5CB-6317-4711-B2DE-3942A095800E}" type="parTrans" cxnId="{85A2A9D1-776F-461B-B5DF-FAD4A3C4D680}">
      <dgm:prSet/>
      <dgm:spPr/>
      <dgm:t>
        <a:bodyPr/>
        <a:lstStyle/>
        <a:p>
          <a:endParaRPr lang="en-US"/>
        </a:p>
      </dgm:t>
    </dgm:pt>
    <dgm:pt modelId="{FC3858C3-5945-430C-BB96-A050D5CEC46F}" type="sibTrans" cxnId="{85A2A9D1-776F-461B-B5DF-FAD4A3C4D680}">
      <dgm:prSet/>
      <dgm:spPr/>
      <dgm:t>
        <a:bodyPr/>
        <a:lstStyle/>
        <a:p>
          <a:endParaRPr lang="en-US"/>
        </a:p>
      </dgm:t>
    </dgm:pt>
    <dgm:pt modelId="{453A4B04-F76E-490B-8F74-F2CEC3B8BB19}">
      <dgm:prSet phldrT="[Texto]" custT="1"/>
      <dgm:spPr/>
      <dgm:t>
        <a:bodyPr/>
        <a:lstStyle/>
        <a:p>
          <a:pPr algn="just"/>
          <a:endParaRPr lang="en-US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616642-9216-43BC-85CB-23782D39B7D5}" type="parTrans" cxnId="{E97BC17C-ACE4-4BB7-BC2E-2E60E6AEC07C}">
      <dgm:prSet/>
      <dgm:spPr/>
      <dgm:t>
        <a:bodyPr/>
        <a:lstStyle/>
        <a:p>
          <a:endParaRPr lang="es-GT"/>
        </a:p>
      </dgm:t>
    </dgm:pt>
    <dgm:pt modelId="{0C3A3D81-03D4-41F0-9DDD-F21090510B7A}" type="sibTrans" cxnId="{E97BC17C-ACE4-4BB7-BC2E-2E60E6AEC07C}">
      <dgm:prSet/>
      <dgm:spPr/>
      <dgm:t>
        <a:bodyPr/>
        <a:lstStyle/>
        <a:p>
          <a:endParaRPr lang="es-GT"/>
        </a:p>
      </dgm:t>
    </dgm:pt>
    <dgm:pt modelId="{7323760A-CAC8-432D-A020-F77BFA77D735}" type="pres">
      <dgm:prSet presAssocID="{FF27429C-5B6E-468F-AF42-BE9281FF2A23}" presName="linear" presStyleCnt="0">
        <dgm:presLayoutVars>
          <dgm:dir/>
          <dgm:animLvl val="lvl"/>
          <dgm:resizeHandles val="exact"/>
        </dgm:presLayoutVars>
      </dgm:prSet>
      <dgm:spPr/>
    </dgm:pt>
    <dgm:pt modelId="{6E63B848-FDAE-4891-8566-8BE88B653316}" type="pres">
      <dgm:prSet presAssocID="{68DFCB13-F778-41C4-88A6-8A8793BBCF6B}" presName="parentLin" presStyleCnt="0"/>
      <dgm:spPr/>
    </dgm:pt>
    <dgm:pt modelId="{374EA5B0-C6AD-46BF-9645-7F0ED252FE66}" type="pres">
      <dgm:prSet presAssocID="{68DFCB13-F778-41C4-88A6-8A8793BBCF6B}" presName="parentLeftMargin" presStyleLbl="node1" presStyleIdx="0" presStyleCnt="1"/>
      <dgm:spPr/>
    </dgm:pt>
    <dgm:pt modelId="{377E1CD8-0067-463D-AA47-7581C029D7D4}" type="pres">
      <dgm:prSet presAssocID="{68DFCB13-F778-41C4-88A6-8A8793BBCF6B}" presName="parentText" presStyleLbl="node1" presStyleIdx="0" presStyleCnt="1" custScaleX="33793">
        <dgm:presLayoutVars>
          <dgm:chMax val="0"/>
          <dgm:bulletEnabled val="1"/>
        </dgm:presLayoutVars>
      </dgm:prSet>
      <dgm:spPr/>
    </dgm:pt>
    <dgm:pt modelId="{8C78493C-3C9C-4FDF-89DE-DDAC27488222}" type="pres">
      <dgm:prSet presAssocID="{68DFCB13-F778-41C4-88A6-8A8793BBCF6B}" presName="negativeSpace" presStyleCnt="0"/>
      <dgm:spPr/>
    </dgm:pt>
    <dgm:pt modelId="{1111B519-2F2F-4512-95FE-D2216303CCBE}" type="pres">
      <dgm:prSet presAssocID="{68DFCB13-F778-41C4-88A6-8A8793BBCF6B}" presName="childText" presStyleLbl="conFgAcc1" presStyleIdx="0" presStyleCnt="1" custScaleY="99330" custLinFactNeighborX="-1523" custLinFactNeighborY="1916">
        <dgm:presLayoutVars>
          <dgm:bulletEnabled val="1"/>
        </dgm:presLayoutVars>
      </dgm:prSet>
      <dgm:spPr/>
    </dgm:pt>
  </dgm:ptLst>
  <dgm:cxnLst>
    <dgm:cxn modelId="{69387103-3411-4A6C-B040-8EBB6BCB6A88}" type="presOf" srcId="{3CF91B55-1F75-4C87-9C67-A20C9FA05662}" destId="{1111B519-2F2F-4512-95FE-D2216303CCBE}" srcOrd="0" destOrd="3" presId="urn:microsoft.com/office/officeart/2005/8/layout/list1"/>
    <dgm:cxn modelId="{2B97E307-DDDC-45DC-9CA7-632648FED3B9}" type="presOf" srcId="{01C29C0B-230A-4A2F-B7AB-59E88CC6B709}" destId="{1111B519-2F2F-4512-95FE-D2216303CCBE}" srcOrd="0" destOrd="0" presId="urn:microsoft.com/office/officeart/2005/8/layout/list1"/>
    <dgm:cxn modelId="{E9E7F310-CA62-40CB-950B-C2B09700E887}" type="presOf" srcId="{FF27429C-5B6E-468F-AF42-BE9281FF2A23}" destId="{7323760A-CAC8-432D-A020-F77BFA77D735}" srcOrd="0" destOrd="0" presId="urn:microsoft.com/office/officeart/2005/8/layout/list1"/>
    <dgm:cxn modelId="{2C707029-5A0E-402A-B59F-EF340F2A4F9E}" type="presOf" srcId="{B3BD5EE0-8B02-47DD-9A82-259B22A65496}" destId="{1111B519-2F2F-4512-95FE-D2216303CCBE}" srcOrd="0" destOrd="8" presId="urn:microsoft.com/office/officeart/2005/8/layout/list1"/>
    <dgm:cxn modelId="{804E552C-050E-4FE3-9A89-FA56FE6F04DB}" srcId="{68DFCB13-F778-41C4-88A6-8A8793BBCF6B}" destId="{DDD57492-28E1-4534-8544-AE4C4F54393E}" srcOrd="4" destOrd="0" parTransId="{F4E1C6EE-CD86-4051-8C91-50C764FC2B3C}" sibTransId="{810108D9-3C67-4E9B-A016-62224098F996}"/>
    <dgm:cxn modelId="{EEF66A34-B4C1-4174-83EC-4C87C0DB31E8}" type="presOf" srcId="{DDD57492-28E1-4534-8544-AE4C4F54393E}" destId="{1111B519-2F2F-4512-95FE-D2216303CCBE}" srcOrd="0" destOrd="4" presId="urn:microsoft.com/office/officeart/2005/8/layout/list1"/>
    <dgm:cxn modelId="{9E117C35-F0A3-4260-AE5F-3261DFB7C6EE}" srcId="{FF27429C-5B6E-468F-AF42-BE9281FF2A23}" destId="{68DFCB13-F778-41C4-88A6-8A8793BBCF6B}" srcOrd="0" destOrd="0" parTransId="{55E528F8-5473-447A-B4D6-39039A5FF545}" sibTransId="{18C21111-088F-4CAC-A53E-A2F91EF73064}"/>
    <dgm:cxn modelId="{D2A05A42-79FB-4963-8B17-BF9A6786808F}" srcId="{68DFCB13-F778-41C4-88A6-8A8793BBCF6B}" destId="{C3D409E7-6B38-4B8B-8222-44C703F58D92}" srcOrd="2" destOrd="0" parTransId="{35E9F9E2-37BD-42CA-AB3F-4201DA8C5649}" sibTransId="{AC2A3F50-B651-4C05-9C8B-A8F890A72D73}"/>
    <dgm:cxn modelId="{CF9E1A65-553C-4315-9B4D-6922C5CF2185}" type="presOf" srcId="{68DFCB13-F778-41C4-88A6-8A8793BBCF6B}" destId="{377E1CD8-0067-463D-AA47-7581C029D7D4}" srcOrd="1" destOrd="0" presId="urn:microsoft.com/office/officeart/2005/8/layout/list1"/>
    <dgm:cxn modelId="{3B646E4E-A757-43B0-9D09-BAE2E05E5ACA}" srcId="{68DFCB13-F778-41C4-88A6-8A8793BBCF6B}" destId="{3CF91B55-1F75-4C87-9C67-A20C9FA05662}" srcOrd="3" destOrd="0" parTransId="{D8385961-8EAF-45B4-BEDD-9F02F740FFF8}" sibTransId="{3B565E79-6F22-4474-B8A9-856B312682A2}"/>
    <dgm:cxn modelId="{047B5950-955A-4E9C-890F-03A957F573F6}" srcId="{68DFCB13-F778-41C4-88A6-8A8793BBCF6B}" destId="{01C29C0B-230A-4A2F-B7AB-59E88CC6B709}" srcOrd="0" destOrd="0" parTransId="{BD00C7DA-D115-4DC8-96E9-9A8238F85148}" sibTransId="{65EB422C-F1D3-4985-A61D-252683A994E5}"/>
    <dgm:cxn modelId="{85999478-29B4-46D0-A378-2630E510203B}" type="presOf" srcId="{6F8CBEB5-BD00-46A8-8598-53DD15BC0D05}" destId="{1111B519-2F2F-4512-95FE-D2216303CCBE}" srcOrd="0" destOrd="6" presId="urn:microsoft.com/office/officeart/2005/8/layout/list1"/>
    <dgm:cxn modelId="{3FDC437B-7FEB-4570-9F57-FAA88171B111}" type="presOf" srcId="{68DFCB13-F778-41C4-88A6-8A8793BBCF6B}" destId="{374EA5B0-C6AD-46BF-9645-7F0ED252FE66}" srcOrd="0" destOrd="0" presId="urn:microsoft.com/office/officeart/2005/8/layout/list1"/>
    <dgm:cxn modelId="{E97BC17C-ACE4-4BB7-BC2E-2E60E6AEC07C}" srcId="{68DFCB13-F778-41C4-88A6-8A8793BBCF6B}" destId="{453A4B04-F76E-490B-8F74-F2CEC3B8BB19}" srcOrd="7" destOrd="0" parTransId="{E8616642-9216-43BC-85CB-23782D39B7D5}" sibTransId="{0C3A3D81-03D4-41F0-9DDD-F21090510B7A}"/>
    <dgm:cxn modelId="{62A354C5-3414-40BA-AD2A-45FD81C86CE9}" srcId="{68DFCB13-F778-41C4-88A6-8A8793BBCF6B}" destId="{6F8CBEB5-BD00-46A8-8598-53DD15BC0D05}" srcOrd="6" destOrd="0" parTransId="{A6EB8F4D-3D4D-468C-8830-DEA557649AF4}" sibTransId="{0628C494-8642-43D7-B0AB-7759DCBF2D72}"/>
    <dgm:cxn modelId="{85A2A9D1-776F-461B-B5DF-FAD4A3C4D680}" srcId="{68DFCB13-F778-41C4-88A6-8A8793BBCF6B}" destId="{F66DA131-6178-426C-B996-591DEB09B7CB}" srcOrd="5" destOrd="0" parTransId="{CEF9C5CB-6317-4711-B2DE-3942A095800E}" sibTransId="{FC3858C3-5945-430C-BB96-A050D5CEC46F}"/>
    <dgm:cxn modelId="{DAA46AD6-6800-4619-A2CB-499FD1424CD7}" srcId="{68DFCB13-F778-41C4-88A6-8A8793BBCF6B}" destId="{8A074394-24C9-4417-B175-5B020C5132EE}" srcOrd="1" destOrd="0" parTransId="{DCE292B1-DDE6-4D66-AF9B-D8F09CB2C44B}" sibTransId="{BB78CF32-946E-44D8-A2CB-37AAD43DE337}"/>
    <dgm:cxn modelId="{B7CD85DB-3BC4-4CD4-9B17-43633D4795FD}" type="presOf" srcId="{C3D409E7-6B38-4B8B-8222-44C703F58D92}" destId="{1111B519-2F2F-4512-95FE-D2216303CCBE}" srcOrd="0" destOrd="2" presId="urn:microsoft.com/office/officeart/2005/8/layout/list1"/>
    <dgm:cxn modelId="{46B5D4E3-A1B8-446E-BF94-1D1B608BD025}" srcId="{68DFCB13-F778-41C4-88A6-8A8793BBCF6B}" destId="{B3BD5EE0-8B02-47DD-9A82-259B22A65496}" srcOrd="8" destOrd="0" parTransId="{C5714091-2FD7-45AB-996F-8D909E729D08}" sibTransId="{0927F4C2-33AC-47BA-87B1-9849DE2EA647}"/>
    <dgm:cxn modelId="{15195BEA-A48C-4BD1-BDAE-C543865F46DB}" type="presOf" srcId="{453A4B04-F76E-490B-8F74-F2CEC3B8BB19}" destId="{1111B519-2F2F-4512-95FE-D2216303CCBE}" srcOrd="0" destOrd="7" presId="urn:microsoft.com/office/officeart/2005/8/layout/list1"/>
    <dgm:cxn modelId="{CA8266EB-2064-4FDD-95F0-C82CE1121510}" type="presOf" srcId="{8A074394-24C9-4417-B175-5B020C5132EE}" destId="{1111B519-2F2F-4512-95FE-D2216303CCBE}" srcOrd="0" destOrd="1" presId="urn:microsoft.com/office/officeart/2005/8/layout/list1"/>
    <dgm:cxn modelId="{5046DFFC-77C3-490C-81E3-6B38AFE3D365}" type="presOf" srcId="{F66DA131-6178-426C-B996-591DEB09B7CB}" destId="{1111B519-2F2F-4512-95FE-D2216303CCBE}" srcOrd="0" destOrd="5" presId="urn:microsoft.com/office/officeart/2005/8/layout/list1"/>
    <dgm:cxn modelId="{4BC55A49-751C-408F-B176-B7C4C361EF7E}" type="presParOf" srcId="{7323760A-CAC8-432D-A020-F77BFA77D735}" destId="{6E63B848-FDAE-4891-8566-8BE88B653316}" srcOrd="0" destOrd="0" presId="urn:microsoft.com/office/officeart/2005/8/layout/list1"/>
    <dgm:cxn modelId="{168861B8-2B13-4D21-A0A3-3DF5AA125F21}" type="presParOf" srcId="{6E63B848-FDAE-4891-8566-8BE88B653316}" destId="{374EA5B0-C6AD-46BF-9645-7F0ED252FE66}" srcOrd="0" destOrd="0" presId="urn:microsoft.com/office/officeart/2005/8/layout/list1"/>
    <dgm:cxn modelId="{FD713377-EE71-47D7-9EBD-4A34BD75CF63}" type="presParOf" srcId="{6E63B848-FDAE-4891-8566-8BE88B653316}" destId="{377E1CD8-0067-463D-AA47-7581C029D7D4}" srcOrd="1" destOrd="0" presId="urn:microsoft.com/office/officeart/2005/8/layout/list1"/>
    <dgm:cxn modelId="{855C1ABF-EE0E-4368-AAF2-7D3585E239A5}" type="presParOf" srcId="{7323760A-CAC8-432D-A020-F77BFA77D735}" destId="{8C78493C-3C9C-4FDF-89DE-DDAC27488222}" srcOrd="1" destOrd="0" presId="urn:microsoft.com/office/officeart/2005/8/layout/list1"/>
    <dgm:cxn modelId="{680373E2-88CE-4642-9587-481CCEFD2578}" type="presParOf" srcId="{7323760A-CAC8-432D-A020-F77BFA77D735}" destId="{1111B519-2F2F-4512-95FE-D2216303CCBE}" srcOrd="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11B519-2F2F-4512-95FE-D2216303CCBE}">
      <dsp:nvSpPr>
        <dsp:cNvPr id="0" name=""/>
        <dsp:cNvSpPr/>
      </dsp:nvSpPr>
      <dsp:spPr>
        <a:xfrm>
          <a:off x="0" y="164167"/>
          <a:ext cx="5836919" cy="7103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3010" tIns="229108" rIns="453010" bIns="7112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Hay una diferencia importante entre la definición de "ingreso" en la metodología nacional y los es</a:t>
          </a:r>
          <a:r>
            <a:rPr lang="en-US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tán</a:t>
          </a: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dares internacionales.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En los </a:t>
          </a:r>
          <a:r>
            <a:rPr lang="en-US" sz="1000" b="1" strike="noStrike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internacionales, un ingreso es un aumento del patrimonio neto como resultado de una transacción (MEFP 2014) </a:t>
          </a:r>
        </a:p>
      </dsp:txBody>
      <dsp:txXfrm>
        <a:off x="0" y="164167"/>
        <a:ext cx="5836919" cy="710325"/>
      </dsp:txXfrm>
    </dsp:sp>
    <dsp:sp modelId="{377E1CD8-0067-463D-AA47-7581C029D7D4}">
      <dsp:nvSpPr>
        <dsp:cNvPr id="0" name=""/>
        <dsp:cNvSpPr/>
      </dsp:nvSpPr>
      <dsp:spPr>
        <a:xfrm>
          <a:off x="291560" y="1807"/>
          <a:ext cx="1379380" cy="32472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4435" tIns="0" rIns="154435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sp:txBody>
      <dsp:txXfrm>
        <a:off x="307412" y="17659"/>
        <a:ext cx="1347676" cy="29301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11B519-2F2F-4512-95FE-D2216303CCBE}">
      <dsp:nvSpPr>
        <dsp:cNvPr id="0" name=""/>
        <dsp:cNvSpPr/>
      </dsp:nvSpPr>
      <dsp:spPr>
        <a:xfrm>
          <a:off x="0" y="0"/>
          <a:ext cx="5836919" cy="8662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3010" tIns="104140" rIns="453010" bIns="71120" numCol="1" spcCol="1270" anchor="t" anchorCtr="0">
          <a:noAutofit/>
        </a:bodyPr>
        <a:lstStyle/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Los "Gastos" en los estándares internacionales presentan mayores diferencias respecto a la información presentada en metodología nacional y es importante entender que estos no son comparables entre si.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En los e</a:t>
          </a:r>
          <a:r>
            <a:rPr lang="en-US" sz="1000" b="1" strike="noStrike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stándares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internacionales, un gasto es una transacción que  disminuye el patrimonio neto del gobierno (MEFP 2014) </a:t>
          </a:r>
        </a:p>
      </dsp:txBody>
      <dsp:txXfrm>
        <a:off x="0" y="0"/>
        <a:ext cx="5836919" cy="866250"/>
      </dsp:txXfrm>
    </dsp:sp>
    <dsp:sp modelId="{377E1CD8-0067-463D-AA47-7581C029D7D4}">
      <dsp:nvSpPr>
        <dsp:cNvPr id="0" name=""/>
        <dsp:cNvSpPr/>
      </dsp:nvSpPr>
      <dsp:spPr>
        <a:xfrm>
          <a:off x="291560" y="4234"/>
          <a:ext cx="1379380" cy="14760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4435" tIns="0" rIns="154435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sp:txBody>
      <dsp:txXfrm>
        <a:off x="298765" y="11439"/>
        <a:ext cx="1364970" cy="13319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11B519-2F2F-4512-95FE-D2216303CCBE}">
      <dsp:nvSpPr>
        <dsp:cNvPr id="0" name=""/>
        <dsp:cNvSpPr/>
      </dsp:nvSpPr>
      <dsp:spPr>
        <a:xfrm>
          <a:off x="0" y="164167"/>
          <a:ext cx="5836919" cy="7103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3010" tIns="229108" rIns="453010" bIns="71120" numCol="1" spcCol="1270" anchor="t" anchorCtr="0">
          <a:noAutofit/>
        </a:bodyPr>
        <a:lstStyle/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Una transacción es un flujo económico que consiste en una interacción entre unidades institucionales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por mutuo acuerdo o mediante la aplicación de la ley.... (MEFP 2014)</a:t>
          </a:r>
          <a:r>
            <a:rPr lang="en-US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.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Las transacciones en activos y pasivos no generan cambios en el patrimonio neto.</a:t>
          </a:r>
        </a:p>
      </dsp:txBody>
      <dsp:txXfrm>
        <a:off x="0" y="164167"/>
        <a:ext cx="5836919" cy="710325"/>
      </dsp:txXfrm>
    </dsp:sp>
    <dsp:sp modelId="{377E1CD8-0067-463D-AA47-7581C029D7D4}">
      <dsp:nvSpPr>
        <dsp:cNvPr id="0" name=""/>
        <dsp:cNvSpPr/>
      </dsp:nvSpPr>
      <dsp:spPr>
        <a:xfrm>
          <a:off x="291560" y="1807"/>
          <a:ext cx="1379380" cy="32472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4435" tIns="0" rIns="154435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sp:txBody>
      <dsp:txXfrm>
        <a:off x="307412" y="17659"/>
        <a:ext cx="1347676" cy="29301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11B519-2F2F-4512-95FE-D2216303CCBE}">
      <dsp:nvSpPr>
        <dsp:cNvPr id="0" name=""/>
        <dsp:cNvSpPr/>
      </dsp:nvSpPr>
      <dsp:spPr>
        <a:xfrm>
          <a:off x="0" y="114959"/>
          <a:ext cx="5836919" cy="7497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3010" tIns="145796" rIns="453010" bIns="71120" numCol="1" spcCol="1270" anchor="t" anchorCtr="0">
          <a:noAutofit/>
        </a:bodyPr>
        <a:lstStyle/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Las "Erogaciones" poseen cierta similitud conceptual a lo que en la metodología nacional se entiende por gasto, sin embargo, poseen algunas diferencias leves.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En </a:t>
          </a:r>
          <a:r>
            <a:rPr lang="en-US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los </a:t>
          </a:r>
          <a:r>
            <a:rPr lang="en-US" sz="1000" b="1" strike="noStrike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</a:t>
          </a:r>
          <a:r>
            <a:rPr lang="en-US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internacionales, una erogación es la suma de los gastos y la inversión neta en activos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no financieros (MEFP 2014) </a:t>
          </a:r>
        </a:p>
      </dsp:txBody>
      <dsp:txXfrm>
        <a:off x="0" y="114959"/>
        <a:ext cx="5836919" cy="749700"/>
      </dsp:txXfrm>
    </dsp:sp>
    <dsp:sp modelId="{377E1CD8-0067-463D-AA47-7581C029D7D4}">
      <dsp:nvSpPr>
        <dsp:cNvPr id="0" name=""/>
        <dsp:cNvSpPr/>
      </dsp:nvSpPr>
      <dsp:spPr>
        <a:xfrm>
          <a:off x="291560" y="11639"/>
          <a:ext cx="1379380" cy="20664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4435" tIns="0" rIns="154435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sp:txBody>
      <dsp:txXfrm>
        <a:off x="301647" y="21726"/>
        <a:ext cx="1359206" cy="18646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11B519-2F2F-4512-95FE-D2216303CCBE}">
      <dsp:nvSpPr>
        <dsp:cNvPr id="0" name=""/>
        <dsp:cNvSpPr/>
      </dsp:nvSpPr>
      <dsp:spPr>
        <a:xfrm>
          <a:off x="0" y="73866"/>
          <a:ext cx="5836919" cy="178003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3010" tIns="163958" rIns="453010" bIns="71120" numCol="1" spcCol="1270" anchor="t" anchorCtr="0">
          <a:noAutofit/>
        </a:bodyPr>
        <a:lstStyle/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Existe una diferencia importante entre el concepto de resultado fiscal con metodología nacional y los </a:t>
          </a:r>
          <a:r>
            <a:rPr lang="en-US" sz="10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 internacionales, lo cual </a:t>
          </a: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hace que estos no sean perfectamente comparables.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En los </a:t>
          </a:r>
          <a:r>
            <a:rPr lang="en-US" sz="1000" b="1" strike="noStrike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estándares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internacionales existen los siguientes indicadores fiscales: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1.) Resultado Operativo Neto (NOB) = </a:t>
          </a:r>
          <a:r>
            <a:rPr lang="en-US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Ingresos - Gastos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2.) Resultado Operativo Bruto (GOB) = </a:t>
          </a:r>
          <a:r>
            <a:rPr lang="en-US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Ingresos - Gastos + Consumo de capital fijo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3.) P</a:t>
          </a:r>
          <a:r>
            <a:rPr lang="en-US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réstamo </a:t>
          </a: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o Endeudamiento Neto (NLB) = </a:t>
          </a:r>
          <a:r>
            <a:rPr lang="en-US" sz="1000" b="0" kern="1200">
              <a:latin typeface="Times New Roman" panose="02020603050405020304" pitchFamily="18" charset="0"/>
              <a:cs typeface="Times New Roman" panose="02020603050405020304" pitchFamily="18" charset="0"/>
            </a:rPr>
            <a:t>NOB - Inversión Neta en Activos no financieros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0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El NOB equivale a las variaciones en el patrimonio neto derivado a transacciones mientras que el NLB también equivale al financiamiento total (MEFP 2014)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US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0" y="73866"/>
        <a:ext cx="5836919" cy="1780030"/>
      </dsp:txXfrm>
    </dsp:sp>
    <dsp:sp modelId="{377E1CD8-0067-463D-AA47-7581C029D7D4}">
      <dsp:nvSpPr>
        <dsp:cNvPr id="0" name=""/>
        <dsp:cNvSpPr/>
      </dsp:nvSpPr>
      <dsp:spPr>
        <a:xfrm>
          <a:off x="291560" y="1660"/>
          <a:ext cx="1379380" cy="14169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4435" tIns="0" rIns="154435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Nota Informativa</a:t>
          </a:r>
        </a:p>
      </dsp:txBody>
      <dsp:txXfrm>
        <a:off x="298477" y="8577"/>
        <a:ext cx="1365546" cy="1278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0.59</cdr:x>
      <cdr:y>0.86473</cdr:y>
    </cdr:from>
    <cdr:to>
      <cdr:x>1</cdr:x>
      <cdr:y>0.983</cdr:y>
    </cdr:to>
    <cdr:sp macro="" textlink="">
      <cdr:nvSpPr>
        <cdr:cNvPr id="2" name="Cuadro de texto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664195" y="2157984"/>
          <a:ext cx="1156475" cy="29514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*Cifras preliminares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Fuente: MINFIN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0.19655</cdr:x>
      <cdr:y>0.90136</cdr:y>
    </cdr:from>
    <cdr:to>
      <cdr:x>1</cdr:x>
      <cdr:y>1</cdr:y>
    </cdr:to>
    <cdr:sp macro="" textlink="">
      <cdr:nvSpPr>
        <cdr:cNvPr id="2" name="Cuadro de texto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08320" y="3461657"/>
          <a:ext cx="2486670" cy="37882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>
            <a:spcAft>
              <a:spcPts val="0"/>
            </a:spcAft>
          </a:pPr>
          <a:r>
            <a:rPr lang="es-GT" sz="800" baseline="300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1/ </a:t>
          </a: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Con base a la metodología nacional</a:t>
          </a:r>
        </a:p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*Cifras preliminares</a:t>
          </a:r>
        </a:p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Fuente: MINFIN</a:t>
          </a: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0.81689</cdr:x>
      <cdr:y>0.28701</cdr:y>
    </cdr:from>
    <cdr:to>
      <cdr:x>0.81689</cdr:x>
      <cdr:y>0.88429</cdr:y>
    </cdr:to>
    <cdr:cxnSp macro="">
      <cdr:nvCxnSpPr>
        <cdr:cNvPr id="3" name="Conector recto 2"/>
        <cdr:cNvCxnSpPr/>
      </cdr:nvCxnSpPr>
      <cdr:spPr>
        <a:xfrm xmlns:a="http://schemas.openxmlformats.org/drawingml/2006/main">
          <a:off x="4878109" y="520510"/>
          <a:ext cx="0" cy="1083203"/>
        </a:xfrm>
        <a:prstGeom xmlns:a="http://schemas.openxmlformats.org/drawingml/2006/main" prst="line">
          <a:avLst/>
        </a:prstGeom>
        <a:effectLst xmlns:a="http://schemas.openxmlformats.org/drawingml/2006/main">
          <a:outerShdw blurRad="50800" dist="38100" dir="18900000" algn="bl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3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0.51268</cdr:x>
      <cdr:y>0.79387</cdr:y>
    </cdr:from>
    <cdr:to>
      <cdr:x>0.93435</cdr:x>
      <cdr:y>0.79387</cdr:y>
    </cdr:to>
    <cdr:cxnSp macro="">
      <cdr:nvCxnSpPr>
        <cdr:cNvPr id="3" name="Conector recto 2"/>
        <cdr:cNvCxnSpPr/>
      </cdr:nvCxnSpPr>
      <cdr:spPr>
        <a:xfrm xmlns:a="http://schemas.openxmlformats.org/drawingml/2006/main">
          <a:off x="1396617" y="3302912"/>
          <a:ext cx="1148691" cy="0"/>
        </a:xfrm>
        <a:prstGeom xmlns:a="http://schemas.openxmlformats.org/drawingml/2006/main" prst="line">
          <a:avLst/>
        </a:prstGeom>
        <a:effectLst xmlns:a="http://schemas.openxmlformats.org/drawingml/2006/main">
          <a:outerShdw blurRad="50800" dist="38100" dir="18900000" algn="bl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3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0.66485</cdr:x>
      <cdr:y>0.93199</cdr:y>
    </cdr:from>
    <cdr:to>
      <cdr:x>1</cdr:x>
      <cdr:y>1</cdr:y>
    </cdr:to>
    <cdr:sp macro="" textlink="">
      <cdr:nvSpPr>
        <cdr:cNvPr id="4" name="Cuadro de texto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028996" y="3958046"/>
          <a:ext cx="1022814" cy="28883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*Cifras preliminares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Fuente: MINFIN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0.89646</cdr:y>
    </cdr:from>
    <cdr:to>
      <cdr:x>0.45183</cdr:x>
      <cdr:y>1</cdr:y>
    </cdr:to>
    <cdr:sp macro="" textlink="">
      <cdr:nvSpPr>
        <cdr:cNvPr id="2" name="Cuadro de texto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3248166"/>
          <a:ext cx="1295408" cy="3751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*Cifras preliminares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Fuente: MINFIN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  <a:p xmlns:a="http://schemas.openxmlformats.org/drawingml/2006/main">
          <a:pPr algn="l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0.12643</cdr:x>
      <cdr:y>0.29643</cdr:y>
    </cdr:from>
    <cdr:to>
      <cdr:x>0.12643</cdr:x>
      <cdr:y>0.77201</cdr:y>
    </cdr:to>
    <cdr:cxnSp macro="">
      <cdr:nvCxnSpPr>
        <cdr:cNvPr id="3" name="Conector recto 2"/>
        <cdr:cNvCxnSpPr/>
      </cdr:nvCxnSpPr>
      <cdr:spPr>
        <a:xfrm xmlns:a="http://schemas.openxmlformats.org/drawingml/2006/main">
          <a:off x="753617" y="620973"/>
          <a:ext cx="0" cy="996287"/>
        </a:xfrm>
        <a:prstGeom xmlns:a="http://schemas.openxmlformats.org/drawingml/2006/main" prst="line">
          <a:avLst/>
        </a:prstGeom>
        <a:effectLst xmlns:a="http://schemas.openxmlformats.org/drawingml/2006/main">
          <a:outerShdw blurRad="50800" dist="38100" dir="18900000" algn="bl" rotWithShape="0">
            <a:prstClr val="black">
              <a:alpha val="40000"/>
            </a:prstClr>
          </a:outerShdw>
        </a:effectLst>
      </cdr:spPr>
      <cdr:style>
        <a:lnRef xmlns:a="http://schemas.openxmlformats.org/drawingml/2006/main" idx="3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2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0.58965</cdr:x>
      <cdr:y>0.85996</cdr:y>
    </cdr:from>
    <cdr:to>
      <cdr:x>1</cdr:x>
      <cdr:y>1</cdr:y>
    </cdr:to>
    <cdr:sp macro="" textlink="">
      <cdr:nvSpPr>
        <cdr:cNvPr id="4" name="Cuadro de texto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14753" y="1619116"/>
          <a:ext cx="2445992" cy="2636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*Cifras preliminares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Fuente: MINFIN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0.78614</cdr:x>
      <cdr:y>0.80006</cdr:y>
    </cdr:from>
    <cdr:to>
      <cdr:x>1</cdr:x>
      <cdr:y>1</cdr:y>
    </cdr:to>
    <cdr:sp macro="" textlink="">
      <cdr:nvSpPr>
        <cdr:cNvPr id="2" name="Cuadro de texto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503761" y="1201002"/>
          <a:ext cx="1225209" cy="30013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*Cifras preliminares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Fuente: MINFIN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  <a:p xmlns:a="http://schemas.openxmlformats.org/drawingml/2006/main">
          <a:pPr algn="r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0.9219</cdr:x>
      <cdr:y>0.15657</cdr:y>
    </cdr:from>
    <cdr:to>
      <cdr:x>0.92473</cdr:x>
      <cdr:y>0.71985</cdr:y>
    </cdr:to>
    <cdr:cxnSp macro="">
      <cdr:nvCxnSpPr>
        <cdr:cNvPr id="4" name="Conector recto 3"/>
        <cdr:cNvCxnSpPr/>
      </cdr:nvCxnSpPr>
      <cdr:spPr>
        <a:xfrm xmlns:a="http://schemas.openxmlformats.org/drawingml/2006/main" flipH="1">
          <a:off x="3011916" y="380391"/>
          <a:ext cx="9261" cy="1368492"/>
        </a:xfrm>
        <a:prstGeom xmlns:a="http://schemas.openxmlformats.org/drawingml/2006/main" prst="line">
          <a:avLst/>
        </a:prstGeom>
        <a:ln xmlns:a="http://schemas.openxmlformats.org/drawingml/2006/main" w="28575" cap="flat" cmpd="sng" algn="ctr">
          <a:solidFill>
            <a:schemeClr val="tx1"/>
          </a:solidFill>
          <a:prstDash val="dash"/>
          <a:round/>
          <a:headEnd type="none" w="med" len="med"/>
          <a:tailEnd type="none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0.91393</cdr:x>
      <cdr:y>0.10217</cdr:y>
    </cdr:from>
    <cdr:to>
      <cdr:x>0.92038</cdr:x>
      <cdr:y>0.61502</cdr:y>
    </cdr:to>
    <cdr:cxnSp macro="">
      <cdr:nvCxnSpPr>
        <cdr:cNvPr id="3" name="Conector recto 2"/>
        <cdr:cNvCxnSpPr/>
      </cdr:nvCxnSpPr>
      <cdr:spPr>
        <a:xfrm xmlns:a="http://schemas.openxmlformats.org/drawingml/2006/main" flipH="1">
          <a:off x="3290546" y="212141"/>
          <a:ext cx="23240" cy="1064923"/>
        </a:xfrm>
        <a:prstGeom xmlns:a="http://schemas.openxmlformats.org/drawingml/2006/main" prst="line">
          <a:avLst/>
        </a:prstGeom>
        <a:ln xmlns:a="http://schemas.openxmlformats.org/drawingml/2006/main" w="28575" cap="flat" cmpd="sng" algn="ctr">
          <a:solidFill>
            <a:schemeClr val="tx1"/>
          </a:solidFill>
          <a:prstDash val="dash"/>
          <a:round/>
          <a:headEnd type="none" w="med" len="med"/>
          <a:tailEnd type="none" w="med" len="med"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</cdr:x>
      <cdr:y>0.85052</cdr:y>
    </cdr:from>
    <cdr:to>
      <cdr:x>0.3026</cdr:x>
      <cdr:y>1</cdr:y>
    </cdr:to>
    <cdr:sp macro="" textlink="">
      <cdr:nvSpPr>
        <cdr:cNvPr id="4" name="Cuadro de texto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1570007"/>
          <a:ext cx="1019929" cy="2759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*Cifras preliminares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Fuente: MINFIN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  <a:p xmlns:a="http://schemas.openxmlformats.org/drawingml/2006/main">
          <a:pPr algn="l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0.00575</cdr:x>
      <cdr:y>0.88424</cdr:y>
    </cdr:from>
    <cdr:to>
      <cdr:x>0.19165</cdr:x>
      <cdr:y>0.97755</cdr:y>
    </cdr:to>
    <cdr:sp macro="" textlink="">
      <cdr:nvSpPr>
        <cdr:cNvPr id="2" name="Cuadro de texto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4153" y="2430130"/>
          <a:ext cx="1103262" cy="25644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*Cifras preliminares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>
            <a:spcAft>
              <a:spcPts val="0"/>
            </a:spcAft>
          </a:pPr>
          <a:r>
            <a:rPr lang="es-GT" sz="8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Fuente: MINFIN</a:t>
          </a:r>
          <a:endParaRPr lang="es-GT" sz="1100">
            <a:effectLst/>
            <a:latin typeface="Times New Roman" panose="02020603050405020304" pitchFamily="18" charset="0"/>
            <a:ea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  <a:p xmlns:a="http://schemas.openxmlformats.org/drawingml/2006/main">
          <a:pPr algn="l">
            <a:spcAft>
              <a:spcPts val="0"/>
            </a:spcAft>
          </a:pPr>
          <a:r>
            <a:rPr lang="es-GT" sz="1100">
              <a:effectLst/>
              <a:latin typeface="Times New Roman" panose="02020603050405020304" pitchFamily="18" charset="0"/>
              <a:ea typeface="Times New Roman" panose="02020603050405020304" pitchFamily="18" charset="0"/>
              <a:cs typeface="Times New Roman" panose="02020603050405020304" pitchFamily="18" charset="0"/>
            </a:rPr>
            <a:t> </a:t>
          </a:r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85B47F-8224-4013-8EE9-B6C68F062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11</Pages>
  <Words>2737</Words>
  <Characters>15055</Characters>
  <Application>Microsoft Office Word</Application>
  <DocSecurity>0</DocSecurity>
  <Lines>125</Lines>
  <Paragraphs>35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Informe de las FinanzAs públicas</vt:lpstr>
      <vt:lpstr>Informe de las FinanzAs públicas</vt:lpstr>
    </vt:vector>
  </TitlesOfParts>
  <Company>Dirección de Análisis y Política Fiscal</Company>
  <LinksUpToDate>false</LinksUpToDate>
  <CharactersWithSpaces>17757</CharactersWithSpaces>
  <SharedDoc>false</SharedDoc>
  <HLinks>
    <vt:vector size="102" baseType="variant">
      <vt:variant>
        <vt:i4>1966137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_Toc71108078</vt:lpwstr>
      </vt:variant>
      <vt:variant>
        <vt:i4>1114169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_Toc71108077</vt:lpwstr>
      </vt:variant>
      <vt:variant>
        <vt:i4>1245241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_Toc71108075</vt:lpwstr>
      </vt:variant>
      <vt:variant>
        <vt:i4>1179705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_Toc71108074</vt:lpwstr>
      </vt:variant>
      <vt:variant>
        <vt:i4>1376313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_Toc71108073</vt:lpwstr>
      </vt:variant>
      <vt:variant>
        <vt:i4>1048632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_Toc71108066</vt:lpwstr>
      </vt:variant>
      <vt:variant>
        <vt:i4>1245240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_Toc71108065</vt:lpwstr>
      </vt:variant>
      <vt:variant>
        <vt:i4>1179704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_Toc71108064</vt:lpwstr>
      </vt:variant>
      <vt:variant>
        <vt:i4>1310776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_Toc71108062</vt:lpwstr>
      </vt:variant>
      <vt:variant>
        <vt:i4>1507384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_Toc71108061</vt:lpwstr>
      </vt:variant>
      <vt:variant>
        <vt:i4>2031675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_Toc71108059</vt:lpwstr>
      </vt:variant>
      <vt:variant>
        <vt:i4>1966139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_Toc71108058</vt:lpwstr>
      </vt:variant>
      <vt:variant>
        <vt:i4>1245243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_Toc71108055</vt:lpwstr>
      </vt:variant>
      <vt:variant>
        <vt:i4>1507387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_Toc71108051</vt:lpwstr>
      </vt:variant>
      <vt:variant>
        <vt:i4>1441851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_Toc71108050</vt:lpwstr>
      </vt:variant>
      <vt:variant>
        <vt:i4>2031674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_Toc71108049</vt:lpwstr>
      </vt:variant>
      <vt:variant>
        <vt:i4>1966138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_Toc71108048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las FinanzAs públicas</dc:title>
  <dc:subject>Tercer Trimestre</dc:subject>
  <dc:creator>DAPF</dc:creator>
  <cp:keywords/>
  <dc:description/>
  <cp:lastModifiedBy>Carlos Herrera</cp:lastModifiedBy>
  <cp:revision>381</cp:revision>
  <cp:lastPrinted>2022-10-28T21:11:00Z</cp:lastPrinted>
  <dcterms:created xsi:type="dcterms:W3CDTF">2022-07-28T18:32:00Z</dcterms:created>
  <dcterms:modified xsi:type="dcterms:W3CDTF">2022-10-28T21:11:00Z</dcterms:modified>
  <cp:category>Ministerio de Finanzas Públicas</cp:category>
</cp:coreProperties>
</file>